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D3" w:rsidRDefault="006072D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52BD3" w:rsidRDefault="00C52BD3">
      <w:pPr>
        <w:spacing w:after="0"/>
        <w:rPr>
          <w:rFonts w:ascii="Times New Roman" w:hAnsi="Times New Roman" w:cs="Times New Roman"/>
          <w:sz w:val="28"/>
        </w:rPr>
      </w:pPr>
    </w:p>
    <w:p w:rsidR="00C52BD3" w:rsidRDefault="00C52BD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52BD3" w:rsidRDefault="00C52BD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52BD3" w:rsidRDefault="006072D0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C52BD3" w:rsidRDefault="006072D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узнать целевое назначение земельного участка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C52BD3" w:rsidRDefault="006072D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Что такое целевое назначение земельного участка? На что влияет разрешенное использование участка? Что будет, если </w:t>
      </w:r>
      <w:r>
        <w:rPr>
          <w:rFonts w:ascii="Times New Roman" w:hAnsi="Times New Roman" w:cs="Times New Roman"/>
          <w:b/>
          <w:sz w:val="28"/>
        </w:rPr>
        <w:t>использовать участок не по целевому назначению? Рассказывают эксперты Кадастровой палаты Краснодарского края.</w:t>
      </w:r>
    </w:p>
    <w:p w:rsidR="00C52BD3" w:rsidRDefault="006072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Российской Федерации все земли подразделяются на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категории</w:t>
        </w:r>
      </w:hyperlink>
      <w:r>
        <w:rPr>
          <w:rFonts w:ascii="Times New Roman" w:hAnsi="Times New Roman" w:cs="Times New Roman"/>
          <w:bCs/>
          <w:sz w:val="28"/>
        </w:rPr>
        <w:t xml:space="preserve"> соответственно целевому назначению. Категория земли (например, земли сельскохозяйственного назначения, земли населенных пунктов и т.д.) определяется целями ее использования и устанавливается законодательством.</w:t>
      </w:r>
    </w:p>
    <w:p w:rsidR="00C52BD3" w:rsidRDefault="006072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Использовать земельные</w:t>
      </w:r>
      <w:r>
        <w:rPr>
          <w:rFonts w:ascii="Times New Roman" w:hAnsi="Times New Roman" w:cs="Times New Roman"/>
          <w:bCs/>
          <w:sz w:val="28"/>
        </w:rPr>
        <w:t xml:space="preserve"> участки можно только в соответствии с установленными для них видами разрешенного строительства. Собственник участка может самостоятельно выбрать вид разрешенного использования в соответствии с видами, установленными в территориальной зоне, где находится з</w:t>
      </w:r>
      <w:r>
        <w:rPr>
          <w:rFonts w:ascii="Times New Roman" w:hAnsi="Times New Roman" w:cs="Times New Roman"/>
          <w:bCs/>
          <w:sz w:val="28"/>
        </w:rPr>
        <w:t>емельный участок.</w:t>
      </w:r>
    </w:p>
    <w:p w:rsidR="00C52BD3" w:rsidRDefault="006072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Виды разрешенного использования земельных участков определены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классификатором</w:t>
        </w:r>
      </w:hyperlink>
      <w:r>
        <w:rPr>
          <w:rFonts w:ascii="Times New Roman" w:hAnsi="Times New Roman" w:cs="Times New Roman"/>
          <w:bCs/>
          <w:sz w:val="28"/>
        </w:rPr>
        <w:t>, который утвержден приказом Росреестра от 10 ноября 2020 года № П/0412. При этом перечень в</w:t>
      </w:r>
      <w:r>
        <w:rPr>
          <w:rFonts w:ascii="Times New Roman" w:hAnsi="Times New Roman" w:cs="Times New Roman"/>
          <w:bCs/>
          <w:sz w:val="28"/>
        </w:rPr>
        <w:t>озможных видов разрешенного использования земельных участков содержится в правилах землепользования и застройки этих территорий.</w:t>
      </w:r>
    </w:p>
    <w:p w:rsidR="00C52BD3" w:rsidRDefault="006072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Вид разрешенного использования является одним из факторов, влияющих на кадастровую стоимость объекта. Соответственно, при смене</w:t>
      </w:r>
      <w:r>
        <w:rPr>
          <w:rFonts w:ascii="Times New Roman" w:hAnsi="Times New Roman" w:cs="Times New Roman"/>
          <w:bCs/>
          <w:sz w:val="28"/>
        </w:rPr>
        <w:t xml:space="preserve"> вида разрешенного использования земельного участка, его кадастровая стоимость также может измениться.</w:t>
      </w:r>
    </w:p>
    <w:p w:rsidR="00C52BD3" w:rsidRDefault="006072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Напоминаем, что кадастровая стоимость является базой для исчисления земельного налога, расчета платы за аренду земельных участков, находящихся в государс</w:t>
      </w:r>
      <w:r>
        <w:rPr>
          <w:rFonts w:ascii="Times New Roman" w:hAnsi="Times New Roman" w:cs="Times New Roman"/>
          <w:bCs/>
          <w:sz w:val="28"/>
        </w:rPr>
        <w:t>твенной или муниципальной собственности, выкупной цены, государственной пошлины при вступлении в наследство.</w:t>
      </w:r>
    </w:p>
    <w:p w:rsidR="00C52BD3" w:rsidRDefault="006072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Чаще всего земельные участки приобретают для конкретных целей, например, строительства индивидуального жилого дома. В этом случае необходимо </w:t>
      </w:r>
      <w:r>
        <w:rPr>
          <w:rFonts w:ascii="Times New Roman" w:hAnsi="Times New Roman" w:cs="Times New Roman"/>
          <w:bCs/>
          <w:sz w:val="28"/>
        </w:rPr>
        <w:t>убедиться, что возведение такого объекта разрешено на земле. Если же изначально приобретен участок с видом разрешенного использования «для индивидуального жилищного строительства», но на земле откроют магазин, то это нарушение законодательства.</w:t>
      </w:r>
    </w:p>
    <w:p w:rsidR="00C52BD3" w:rsidRDefault="006072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 использо</w:t>
      </w:r>
      <w:r>
        <w:rPr>
          <w:rFonts w:ascii="Times New Roman" w:hAnsi="Times New Roman" w:cs="Times New Roman"/>
          <w:bCs/>
          <w:sz w:val="28"/>
        </w:rPr>
        <w:t xml:space="preserve">вание земельного участка не по целевому назначению собственнику грозит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штраф</w:t>
        </w:r>
      </w:hyperlink>
      <w:r>
        <w:rPr>
          <w:rFonts w:ascii="Times New Roman" w:hAnsi="Times New Roman" w:cs="Times New Roman"/>
          <w:bCs/>
          <w:sz w:val="28"/>
        </w:rPr>
        <w:t xml:space="preserve"> либо изъятие участка. Основанием для изъятия земельного участка, предн</w:t>
      </w:r>
      <w:r>
        <w:rPr>
          <w:rFonts w:ascii="Times New Roman" w:hAnsi="Times New Roman" w:cs="Times New Roman"/>
          <w:bCs/>
          <w:sz w:val="28"/>
        </w:rPr>
        <w:t xml:space="preserve">азначенного для жилищного или иного строительства либо для ведения сельского хозяйства, может послужить факт неиспользования участка для заявленной цели в течение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трех лет</w:t>
        </w:r>
      </w:hyperlink>
      <w:r>
        <w:rPr>
          <w:rFonts w:ascii="Times New Roman" w:hAnsi="Times New Roman" w:cs="Times New Roman"/>
          <w:bCs/>
          <w:sz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Также необходимо учитывать, что при использовании земельного участка, не зависимо от его целевого назначения,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недопустимо</w:t>
        </w:r>
      </w:hyperlink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нанесение вреда окружающей среде.</w:t>
      </w:r>
    </w:p>
    <w:p w:rsidR="00C52BD3" w:rsidRDefault="006072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случае выявления нарушений собственнику участка отводится полгода на устранение таковых. По завершению отведенного срока проводится повторная проверка, после которой принимается решение о необходимости наложения санкций.</w:t>
      </w:r>
    </w:p>
    <w:p w:rsidR="00C52BD3" w:rsidRDefault="006072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Выявление нарушений происходит как в результате проверок должностным лицом, так и при рассмотрении обращений от заявителей. Подать жалобу по факту использования участка не по целевому назначению может любое физическое и юридическое лицо.</w:t>
      </w:r>
    </w:p>
    <w:p w:rsidR="00C52BD3" w:rsidRDefault="006072D0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</w:t>
      </w:r>
    </w:p>
    <w:p w:rsidR="00C52BD3" w:rsidRDefault="006072D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C52BD3" w:rsidRDefault="00C52BD3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C52BD3">
        <w:trPr>
          <w:jc w:val="center"/>
        </w:trPr>
        <w:tc>
          <w:tcPr>
            <w:tcW w:w="775" w:type="dxa"/>
            <w:hideMark/>
          </w:tcPr>
          <w:p w:rsidR="00C52BD3" w:rsidRDefault="006072D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C52BD3" w:rsidRDefault="00C52BD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 w:rsidR="006072D0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C52BD3" w:rsidRDefault="006072D0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C52BD3" w:rsidRDefault="006072D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C52BD3">
        <w:trPr>
          <w:jc w:val="center"/>
        </w:trPr>
        <w:tc>
          <w:tcPr>
            <w:tcW w:w="775" w:type="dxa"/>
            <w:hideMark/>
          </w:tcPr>
          <w:p w:rsidR="00C52BD3" w:rsidRDefault="006072D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C52BD3" w:rsidRDefault="006072D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C52BD3" w:rsidRDefault="006072D0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C52BD3" w:rsidRDefault="006072D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C52BD3" w:rsidRDefault="00C52BD3">
      <w:pPr>
        <w:spacing w:after="120" w:line="360" w:lineRule="auto"/>
        <w:ind w:firstLine="709"/>
        <w:jc w:val="both"/>
      </w:pPr>
    </w:p>
    <w:sectPr w:rsidR="00C52BD3" w:rsidSect="00C52BD3">
      <w:footerReference w:type="default" r:id="rId18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2D0" w:rsidRDefault="006072D0">
      <w:pPr>
        <w:spacing w:after="0" w:line="240" w:lineRule="auto"/>
      </w:pPr>
      <w:r>
        <w:separator/>
      </w:r>
    </w:p>
  </w:endnote>
  <w:endnote w:type="continuationSeparator" w:id="1">
    <w:p w:rsidR="006072D0" w:rsidRDefault="0060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D3" w:rsidRDefault="006072D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C52BD3" w:rsidRDefault="006072D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2D0" w:rsidRDefault="006072D0">
      <w:pPr>
        <w:spacing w:after="0" w:line="240" w:lineRule="auto"/>
      </w:pPr>
      <w:r>
        <w:separator/>
      </w:r>
    </w:p>
  </w:footnote>
  <w:footnote w:type="continuationSeparator" w:id="1">
    <w:p w:rsidR="006072D0" w:rsidRDefault="00607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2BD3"/>
    <w:rsid w:val="006072D0"/>
    <w:rsid w:val="008F33BF"/>
    <w:rsid w:val="00C52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BD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52BD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2BD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2BD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2BD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2BD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2BD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52BD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52BD3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52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52BD3"/>
  </w:style>
  <w:style w:type="paragraph" w:styleId="af">
    <w:name w:val="footer"/>
    <w:basedOn w:val="a"/>
    <w:link w:val="af0"/>
    <w:uiPriority w:val="99"/>
    <w:unhideWhenUsed/>
    <w:rsid w:val="00C52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52BD3"/>
  </w:style>
  <w:style w:type="table" w:styleId="af1">
    <w:name w:val="Table Grid"/>
    <w:basedOn w:val="a1"/>
    <w:uiPriority w:val="39"/>
    <w:rsid w:val="00C52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368cb949273de5fecbcf2586fbf84ef05bd1a781/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3773/51d520c975d3bf8bdb9ec6970f385e5933d47950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5142/f4bf6ab2a5e056db1deed5ea565335279b6c3be1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consultant.ru/document/cons_doc_LAW_34661/d4131daeffceff28e2dda2eba7105f88abc9e7e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962082/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30U</cp:lastModifiedBy>
  <cp:revision>2</cp:revision>
  <dcterms:created xsi:type="dcterms:W3CDTF">2021-09-07T05:52:00Z</dcterms:created>
  <dcterms:modified xsi:type="dcterms:W3CDTF">2021-09-07T05:52:00Z</dcterms:modified>
</cp:coreProperties>
</file>