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635" w:h="339" w:hRule="exact" w:wrap="none" w:vAnchor="page" w:hAnchor="page" w:x="2049" w:y="115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6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Кощиенко Григорий Павлович</w:t>
      </w:r>
    </w:p>
    <w:p>
      <w:pPr>
        <w:framePr w:wrap="none" w:vAnchor="page" w:hAnchor="page" w:x="10017" w:y="48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pt;height:60pt;">
            <v:imagedata r:id="rId5" r:href="rId6"/>
          </v:shape>
        </w:pict>
      </w:r>
    </w:p>
    <w:p>
      <w:pPr>
        <w:pStyle w:val="Style5"/>
        <w:framePr w:w="8635" w:h="5603" w:hRule="exact" w:wrap="none" w:vAnchor="page" w:hAnchor="page" w:x="2049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ТЕРРИТОРИИ, ПРОЕКТ</w:t>
        <w:br/>
        <w:t>МЕЖЕВАНИЯ ТЕРРИТОРИИ В СОСТАВЕ ПРОЕКТА</w:t>
        <w:br/>
        <w:t>ПЛАНИРОВКИ ТЕРРИТОРИИ) ДЛЯ РАЗМЕЩЕНИЯ</w:t>
        <w:br/>
        <w:t>ЛИНЕЙНОГО ОБЪЕКТА (КАНАЛИЗАЦИОННЫЙ</w:t>
        <w:br/>
        <w:t>КОЛЛЕКТОР С НАСОСНОЙ СТАНЦИЕЙ),</w:t>
        <w:br/>
        <w:t>РАСПОЛОЖЕННОГО ПО АДРЕСУ: КРАСНОДАРСКИЙ</w:t>
        <w:br/>
        <w:t>КРАЙ, НОВОКУБАНСКИЙ РАЙОН, НОВОКУБАНСКОЕ</w:t>
        <w:br/>
        <w:t>ГОРОДСКОЕ ПОСЕЛЕНИЕ, ГОРОД НОВОКУБАНСК,</w:t>
        <w:br/>
        <w:t>УЛИЦА СПОРТИВНАЯ И УЛИЦА МОСКОВСКАЯ</w:t>
      </w:r>
    </w:p>
    <w:p>
      <w:pPr>
        <w:pStyle w:val="Style7"/>
        <w:framePr w:w="8635" w:h="5603" w:hRule="exact" w:wrap="none" w:vAnchor="page" w:hAnchor="page" w:x="2049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1-15/07/2025- ДПТ/ЛО</w:t>
      </w:r>
      <w:bookmarkEnd w:id="0"/>
    </w:p>
    <w:p>
      <w:pPr>
        <w:pStyle w:val="Style9"/>
        <w:framePr w:w="8635" w:h="5603" w:hRule="exact" w:wrap="none" w:vAnchor="page" w:hAnchor="page" w:x="2049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  <w:bookmarkEnd w:id="1"/>
    </w:p>
    <w:p>
      <w:pPr>
        <w:pStyle w:val="Style5"/>
        <w:framePr w:w="8635" w:h="2255" w:hRule="exact" w:wrap="none" w:vAnchor="page" w:hAnchor="page" w:x="2049" w:y="8801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часть</w:t>
      </w:r>
    </w:p>
    <w:p>
      <w:pPr>
        <w:pStyle w:val="Style11"/>
        <w:framePr w:w="8635" w:h="2255" w:hRule="exact" w:wrap="none" w:vAnchor="page" w:hAnchor="page" w:x="2049" w:y="8801"/>
        <w:widowControl w:val="0"/>
        <w:keepNext w:val="0"/>
        <w:keepLines w:val="0"/>
        <w:shd w:val="clear" w:color="auto" w:fill="auto"/>
        <w:bidi w:val="0"/>
        <w:spacing w:before="0" w:after="364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размещении линейных объектов</w:t>
        <w:br/>
        <w:t>Графическая часть</w:t>
      </w:r>
    </w:p>
    <w:p>
      <w:pPr>
        <w:pStyle w:val="Style9"/>
        <w:framePr w:w="8635" w:h="2255" w:hRule="exact" w:wrap="none" w:vAnchor="page" w:hAnchor="page" w:x="2049" w:y="8801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28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  <w:bookmarkEnd w:id="2"/>
    </w:p>
    <w:p>
      <w:pPr>
        <w:pStyle w:val="Style13"/>
        <w:framePr w:w="8635" w:h="2255" w:hRule="exact" w:wrap="none" w:vAnchor="page" w:hAnchor="page" w:x="2049" w:y="880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(лист 1)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4" w:h="339" w:hRule="exact" w:wrap="none" w:vAnchor="page" w:hAnchor="page" w:x="1670" w:y="115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6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Кощиенко Григорий Павлович</w:t>
      </w:r>
    </w:p>
    <w:p>
      <w:pPr>
        <w:framePr w:wrap="none" w:vAnchor="page" w:hAnchor="page" w:x="10017" w:y="482"/>
        <w:widowControl w:val="0"/>
        <w:rPr>
          <w:sz w:val="2"/>
          <w:szCs w:val="2"/>
        </w:rPr>
      </w:pPr>
      <w:r>
        <w:pict>
          <v:shape id="_x0000_s1027" type="#_x0000_t75" style="width:60pt;height:60pt;">
            <v:imagedata r:id="rId7" r:href="rId8"/>
          </v:shape>
        </w:pict>
      </w:r>
    </w:p>
    <w:p>
      <w:pPr>
        <w:pStyle w:val="Style5"/>
        <w:framePr w:w="9014" w:h="5603" w:hRule="exact" w:wrap="none" w:vAnchor="page" w:hAnchor="page" w:x="1670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ТЕРРИТОРИИ, ПРОЕКТ</w:t>
        <w:br/>
        <w:t>МЕЖЕВАНИЯ ТЕРРИТОРИИ В СОСТАВЕ ПРОЕКТА</w:t>
        <w:br/>
        <w:t>ПЛАНИРОВКИ ТЕРРИТОРИИ) ДЛЯ РАЗМЕЩЕНИЯ</w:t>
        <w:br/>
        <w:t>ЛИНЕЙНОГО ОБЪЕКТА (КАНАЛИЗАЦИОННЫЙ</w:t>
        <w:br/>
        <w:t>КОЛЛЕКТОР С НАСОСНОЙ СТАНЦИЕЙ),</w:t>
        <w:br/>
        <w:t>РАСПОЛОЖЕННОГО ПО АДРЕСУ: КРАСНОДАРСКИЙ</w:t>
        <w:br/>
        <w:t>КРАЙ, НОВОКУБАНСКИЙ РАЙОН, НОВОКУБАНСКОЕ</w:t>
        <w:br/>
        <w:t>ГОРОДСКОЕ ПОСЕЛЕНИЕ, ГОРОД НОВОКУБАНСК,</w:t>
        <w:br/>
        <w:t>УЛИЦА СПОРТИВНАЯ И УЛИЦА МОСКОВСКАЯ</w:t>
      </w:r>
    </w:p>
    <w:p>
      <w:pPr>
        <w:pStyle w:val="Style7"/>
        <w:framePr w:w="9014" w:h="5603" w:hRule="exact" w:wrap="none" w:vAnchor="page" w:hAnchor="page" w:x="1670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1-15/07/2025- ДПТ/ЛО</w:t>
      </w:r>
      <w:bookmarkEnd w:id="3"/>
    </w:p>
    <w:p>
      <w:pPr>
        <w:pStyle w:val="Style9"/>
        <w:framePr w:w="9014" w:h="5603" w:hRule="exact" w:wrap="none" w:vAnchor="page" w:hAnchor="page" w:x="1670" w:y="298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  <w:bookmarkEnd w:id="4"/>
    </w:p>
    <w:p>
      <w:pPr>
        <w:pStyle w:val="Style5"/>
        <w:framePr w:w="9014" w:h="2255" w:hRule="exact" w:wrap="none" w:vAnchor="page" w:hAnchor="page" w:x="1670" w:y="8801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часть</w:t>
      </w:r>
    </w:p>
    <w:p>
      <w:pPr>
        <w:pStyle w:val="Style11"/>
        <w:framePr w:w="9014" w:h="2255" w:hRule="exact" w:wrap="none" w:vAnchor="page" w:hAnchor="page" w:x="1670" w:y="8801"/>
        <w:widowControl w:val="0"/>
        <w:keepNext w:val="0"/>
        <w:keepLines w:val="0"/>
        <w:shd w:val="clear" w:color="auto" w:fill="auto"/>
        <w:bidi w:val="0"/>
        <w:spacing w:before="0" w:after="364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размещении линейных объектов</w:t>
        <w:br/>
        <w:t>Графическая часть</w:t>
      </w:r>
    </w:p>
    <w:p>
      <w:pPr>
        <w:pStyle w:val="Style9"/>
        <w:framePr w:w="9014" w:h="2255" w:hRule="exact" w:wrap="none" w:vAnchor="page" w:hAnchor="page" w:x="1670" w:y="8801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10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  <w:bookmarkEnd w:id="5"/>
    </w:p>
    <w:p>
      <w:pPr>
        <w:pStyle w:val="Style13"/>
        <w:framePr w:w="9014" w:h="2255" w:hRule="exact" w:wrap="none" w:vAnchor="page" w:hAnchor="page" w:x="1670" w:y="880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(лист 1)</w:t>
      </w:r>
    </w:p>
    <w:p>
      <w:pPr>
        <w:pStyle w:val="Style3"/>
        <w:framePr w:w="9014" w:h="337" w:hRule="exact" w:wrap="none" w:vAnchor="page" w:hAnchor="page" w:x="1670" w:y="1278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69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Кощиенко Г.П.</w:t>
      </w:r>
    </w:p>
    <w:p>
      <w:pPr>
        <w:framePr w:wrap="none" w:vAnchor="page" w:hAnchor="page" w:x="6480" w:y="11488"/>
        <w:widowControl w:val="0"/>
        <w:rPr>
          <w:sz w:val="2"/>
          <w:szCs w:val="2"/>
        </w:rPr>
      </w:pPr>
      <w:r>
        <w:pict>
          <v:shape id="_x0000_s1028" type="#_x0000_t75" style="width:210pt;height:14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435" w:h="11653" w:hRule="exact" w:wrap="none" w:vAnchor="page" w:hAnchor="page" w:x="1103" w:y="1627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1-15/07/2025-ДПТ/ЛО- Основная часть</w:t>
      </w:r>
    </w:p>
    <w:p>
      <w:pPr>
        <w:pStyle w:val="Style3"/>
        <w:framePr w:w="10435" w:h="11653" w:hRule="exact" w:wrap="none" w:vAnchor="page" w:hAnchor="page" w:x="1103" w:y="1627"/>
        <w:tabs>
          <w:tab w:leader="none" w:pos="28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ПЗ 1</w:t>
        <w:tab/>
        <w:t>Положение о размещении линейных</w:t>
      </w:r>
    </w:p>
    <w:p>
      <w:pPr>
        <w:pStyle w:val="Style3"/>
        <w:framePr w:w="10435" w:h="11653" w:hRule="exact" w:wrap="none" w:vAnchor="page" w:hAnchor="page" w:x="1103" w:y="1627"/>
        <w:widowControl w:val="0"/>
        <w:keepNext w:val="0"/>
        <w:keepLines w:val="0"/>
        <w:shd w:val="clear" w:color="auto" w:fill="auto"/>
        <w:bidi w:val="0"/>
        <w:jc w:val="left"/>
        <w:spacing w:before="0" w:after="337" w:line="326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</w:t>
      </w:r>
    </w:p>
    <w:p>
      <w:pPr>
        <w:pStyle w:val="Style3"/>
        <w:framePr w:w="10435" w:h="11653" w:hRule="exact" w:wrap="none" w:vAnchor="page" w:hAnchor="page" w:x="1103" w:y="1627"/>
        <w:widowControl w:val="0"/>
        <w:keepNext w:val="0"/>
        <w:keepLines w:val="0"/>
        <w:shd w:val="clear" w:color="auto" w:fill="auto"/>
        <w:bidi w:val="0"/>
        <w:jc w:val="left"/>
        <w:spacing w:before="0" w:after="332" w:line="280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 тома</w:t>
      </w:r>
    </w:p>
    <w:p>
      <w:pPr>
        <w:pStyle w:val="Style3"/>
        <w:framePr w:w="10435" w:h="11653" w:hRule="exact" w:wrap="none" w:vAnchor="page" w:hAnchor="page" w:x="1103" w:y="1627"/>
        <w:widowControl w:val="0"/>
        <w:keepNext w:val="0"/>
        <w:keepLines w:val="0"/>
        <w:shd w:val="clear" w:color="auto" w:fill="auto"/>
        <w:bidi w:val="0"/>
        <w:jc w:val="left"/>
        <w:spacing w:before="0" w:after="304" w:line="280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 градостроительной документации</w:t>
      </w:r>
    </w:p>
    <w:p>
      <w:pPr>
        <w:pStyle w:val="Style3"/>
        <w:numPr>
          <w:ilvl w:val="0"/>
          <w:numId w:val="1"/>
        </w:numPr>
        <w:framePr w:w="10435" w:h="11653" w:hRule="exact" w:wrap="none" w:vAnchor="page" w:hAnchor="page" w:x="1103" w:y="1627"/>
        <w:tabs>
          <w:tab w:leader="none" w:pos="3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000" w:right="2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объектов.</w:t>
      </w:r>
    </w:p>
    <w:p>
      <w:pPr>
        <w:pStyle w:val="Style3"/>
        <w:numPr>
          <w:ilvl w:val="1"/>
          <w:numId w:val="1"/>
        </w:numPr>
        <w:framePr w:w="10435" w:h="11653" w:hRule="exact" w:wrap="none" w:vAnchor="page" w:hAnchor="page" w:x="1103" w:y="1627"/>
        <w:tabs>
          <w:tab w:leader="none" w:pos="35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540" w:right="2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Канализационный коллектор с насосной станцией</w:t>
      </w:r>
    </w:p>
    <w:p>
      <w:pPr>
        <w:pStyle w:val="Style3"/>
        <w:numPr>
          <w:ilvl w:val="1"/>
          <w:numId w:val="1"/>
        </w:numPr>
        <w:framePr w:w="10435" w:h="11653" w:hRule="exact" w:wrap="none" w:vAnchor="page" w:hAnchor="page" w:x="1103" w:y="1627"/>
        <w:tabs>
          <w:tab w:leader="none" w:pos="36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000" w:right="210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Линейные объекты, подлежащие реконструкции в связи с изменением их местоположения</w:t>
      </w:r>
    </w:p>
    <w:p>
      <w:pPr>
        <w:pStyle w:val="Style3"/>
        <w:numPr>
          <w:ilvl w:val="0"/>
          <w:numId w:val="1"/>
        </w:numPr>
        <w:framePr w:w="10435" w:h="11653" w:hRule="exact" w:wrap="none" w:vAnchor="page" w:hAnchor="page" w:x="1103" w:y="1627"/>
        <w:tabs>
          <w:tab w:leader="none" w:pos="32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000" w:right="2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</w:p>
    <w:p>
      <w:pPr>
        <w:pStyle w:val="Style3"/>
        <w:numPr>
          <w:ilvl w:val="0"/>
          <w:numId w:val="1"/>
        </w:numPr>
        <w:framePr w:w="10435" w:h="11653" w:hRule="exact" w:wrap="none" w:vAnchor="page" w:hAnchor="page" w:x="1103" w:y="1627"/>
        <w:tabs>
          <w:tab w:leader="none" w:pos="32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000" w:right="2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границ зон планируемого размещения линейных объектов</w:t>
      </w:r>
    </w:p>
    <w:p>
      <w:pPr>
        <w:pStyle w:val="Style3"/>
        <w:numPr>
          <w:ilvl w:val="0"/>
          <w:numId w:val="1"/>
        </w:numPr>
        <w:framePr w:w="10435" w:h="11653" w:hRule="exact" w:wrap="none" w:vAnchor="page" w:hAnchor="page" w:x="1103" w:y="1627"/>
        <w:tabs>
          <w:tab w:leader="none" w:pos="3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000" w:right="2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</w:t>
      </w:r>
    </w:p>
    <w:tbl>
      <w:tblPr>
        <w:tblOverlap w:val="never"/>
        <w:tblLayout w:type="fixed"/>
        <w:jc w:val="left"/>
      </w:tblPr>
      <w:tblGrid>
        <w:gridCol w:w="595"/>
        <w:gridCol w:w="614"/>
        <w:gridCol w:w="586"/>
        <w:gridCol w:w="643"/>
        <w:gridCol w:w="864"/>
        <w:gridCol w:w="576"/>
        <w:gridCol w:w="3662"/>
        <w:gridCol w:w="850"/>
        <w:gridCol w:w="850"/>
        <w:gridCol w:w="119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5"/>
              </w:rPr>
              <w:t>1-15/07/2025-ДПТ/ЛО-ПЗ 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35" w:h="2304" w:wrap="none" w:vAnchor="page" w:hAnchor="page" w:x="1103" w:y="14229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35" w:h="2304" w:wrap="none" w:vAnchor="page" w:hAnchor="page" w:x="1103" w:y="14229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Положение о размещении линейных объектов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17"/>
              </w:rPr>
              <w:t>ДПТ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25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Кощиенко Г.П.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 xml:space="preserve">' </w:t>
            </w:r>
            <w:r>
              <w:rPr>
                <w:rStyle w:val="CharStyle19"/>
                <w:vertAlign w:val="subscript"/>
              </w:rPr>
              <w:t>/</w:t>
            </w:r>
            <w:r>
              <w:rPr>
                <w:rStyle w:val="CharStyle19"/>
              </w:rPr>
              <w:t xml:space="preserve"> </w:t>
            </w:r>
            <w:r>
              <w:rPr>
                <w:rStyle w:val="CharStyle20"/>
                <w:vertAlign w:val="superscript"/>
              </w:rPr>
              <w:t>/</w:t>
            </w:r>
            <w:r>
              <w:rPr>
                <w:rStyle w:val="CharStyle20"/>
              </w:rPr>
              <w:t>о^\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07.25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435" w:h="2304" w:wrap="none" w:vAnchor="page" w:hAnchor="page" w:x="1103" w:y="14229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6" w:lineRule="exact"/>
              <w:ind w:left="0" w:right="0" w:firstLine="0"/>
            </w:pPr>
            <w:r>
              <w:rPr>
                <w:rStyle w:val="CharStyle17"/>
              </w:rPr>
              <w:t>ИП Кощиенко Григорий Павлович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2304" w:wrap="none" w:vAnchor="page" w:hAnchor="page" w:x="1103" w:y="142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435" w:h="2304" w:wrap="none" w:vAnchor="page" w:hAnchor="page" w:x="1103" w:y="1422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35" w:h="2304" w:wrap="none" w:vAnchor="page" w:hAnchor="page" w:x="1103" w:y="14229"/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35" w:h="2304" w:wrap="none" w:vAnchor="page" w:hAnchor="page" w:x="1103" w:y="142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435" w:h="2304" w:wrap="none" w:vAnchor="page" w:hAnchor="page" w:x="1103" w:y="1422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35" w:h="2304" w:wrap="none" w:vAnchor="page" w:hAnchor="page" w:x="1103" w:y="1422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928"/>
        <w:gridCol w:w="5530"/>
        <w:gridCol w:w="1354"/>
        <w:gridCol w:w="624"/>
      </w:tblGrid>
      <w:tr>
        <w:trPr>
          <w:trHeight w:val="629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15696" w:wrap="none" w:vAnchor="page" w:hAnchor="page" w:x="110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35" w:h="15696" w:wrap="none" w:vAnchor="page" w:hAnchor="page" w:x="110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15696" w:wrap="none" w:vAnchor="page" w:hAnchor="page" w:x="110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Обозначение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15696" w:wrap="none" w:vAnchor="page" w:hAnchor="page" w:x="110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Наименование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35" w:h="15696" w:wrap="none" w:vAnchor="page" w:hAnchor="page" w:x="110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18"/>
              </w:rPr>
              <w:t>Примечание</w:t>
            </w:r>
          </w:p>
        </w:tc>
      </w:tr>
      <w:tr>
        <w:trPr>
          <w:trHeight w:val="139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35" w:h="15696" w:wrap="none" w:vAnchor="page" w:hAnchor="page" w:x="110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35" w:h="15696" w:wrap="none" w:vAnchor="page" w:hAnchor="page" w:x="110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местоположения</w:t>
            </w:r>
          </w:p>
          <w:p>
            <w:pPr>
              <w:pStyle w:val="Style3"/>
              <w:numPr>
                <w:ilvl w:val="0"/>
                <w:numId w:val="3"/>
              </w:numPr>
              <w:framePr w:w="10435" w:h="15696" w:wrap="none" w:vAnchor="page" w:hAnchor="page" w:x="1103" w:y="280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Предельные параметры объектов разрешённого строительства, входящих в состав линейных объектов в границах зон их планируемого размещения</w:t>
            </w:r>
          </w:p>
          <w:p>
            <w:pPr>
              <w:pStyle w:val="Style3"/>
              <w:numPr>
                <w:ilvl w:val="0"/>
                <w:numId w:val="3"/>
              </w:numPr>
              <w:framePr w:w="10435" w:h="15696" w:wrap="none" w:vAnchor="page" w:hAnchor="page" w:x="1103" w:y="280"/>
              <w:tabs>
                <w:tab w:leader="none" w:pos="21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Планировочные ограничения (зоны с особыми условиями использования территории)</w:t>
            </w:r>
          </w:p>
          <w:p>
            <w:pPr>
              <w:pStyle w:val="Style3"/>
              <w:numPr>
                <w:ilvl w:val="0"/>
                <w:numId w:val="3"/>
              </w:numPr>
              <w:framePr w:w="10435" w:h="15696" w:wrap="none" w:vAnchor="page" w:hAnchor="page" w:x="1103" w:y="280"/>
              <w:tabs>
                <w:tab w:leader="non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Мероприятия по защите сохраняемых объектов капитального строительства, существующих и строящихся на момент подготовки проекта планировки территории, а также объектов капитального строительства, планируемых к капитальному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      </w:r>
          </w:p>
          <w:p>
            <w:pPr>
              <w:pStyle w:val="Style3"/>
              <w:numPr>
                <w:ilvl w:val="0"/>
                <w:numId w:val="3"/>
              </w:numPr>
              <w:framePr w:w="10435" w:h="15696" w:wrap="none" w:vAnchor="page" w:hAnchor="page" w:x="1103" w:y="280"/>
              <w:tabs>
                <w:tab w:leader="none" w:pos="3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Мероприятия по сохранению объектов культурного наследия от возможного негативного воздействия в связи с размещением линейных объектов</w:t>
            </w:r>
          </w:p>
          <w:p>
            <w:pPr>
              <w:pStyle w:val="Style3"/>
              <w:numPr>
                <w:ilvl w:val="0"/>
                <w:numId w:val="3"/>
              </w:numPr>
              <w:framePr w:w="10435" w:h="15696" w:wrap="none" w:vAnchor="page" w:hAnchor="page" w:x="1103" w:y="280"/>
              <w:tabs>
                <w:tab w:leader="none" w:pos="37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Мероприятия по охране окружающей среды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64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Охрана атмосферного воздуха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8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Шумовое воздействие линейного объекта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109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Определение размеров СЗЗ проектируемого объекта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57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Мероприятия по охране поверхностных и подземных вод от загрязнения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93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Мероприятия по охране объектов растительного и животного мира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63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Мероприятия по охране недр</w:t>
            </w:r>
          </w:p>
          <w:p>
            <w:pPr>
              <w:pStyle w:val="Style3"/>
              <w:numPr>
                <w:ilvl w:val="1"/>
                <w:numId w:val="3"/>
              </w:numPr>
              <w:framePr w:w="10435" w:h="15696" w:wrap="none" w:vAnchor="page" w:hAnchor="page" w:x="1103" w:y="280"/>
              <w:tabs>
                <w:tab w:leader="none" w:pos="106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220"/>
            </w:pPr>
            <w:r>
              <w:rPr>
                <w:rStyle w:val="CharStyle18"/>
              </w:rPr>
              <w:t>Мероприятия по рациональному использованию общераспространенных полезных ископаемых, используемых при строительстве.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35" w:h="15696" w:wrap="none" w:vAnchor="page" w:hAnchor="page" w:x="110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35" w:h="15696" w:wrap="none" w:vAnchor="page" w:hAnchor="page" w:x="110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435" w:h="15696" w:wrap="none" w:vAnchor="page" w:hAnchor="page" w:x="110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435" w:h="6173" w:hRule="exact" w:wrap="none" w:vAnchor="page" w:hAnchor="page" w:x="1103" w:y="169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 Мероприятия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</w:p>
    <w:p>
      <w:pPr>
        <w:pStyle w:val="Style3"/>
        <w:numPr>
          <w:ilvl w:val="0"/>
          <w:numId w:val="5"/>
        </w:numPr>
        <w:framePr w:w="10435" w:h="6173" w:hRule="exact" w:wrap="none" w:vAnchor="page" w:hAnchor="page" w:x="1103" w:y="1694"/>
        <w:tabs>
          <w:tab w:leader="none" w:pos="3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Защита территории от чрезвычайных ситуаций природного и техногенного характера и гражданской обороне</w:t>
      </w:r>
    </w:p>
    <w:p>
      <w:pPr>
        <w:pStyle w:val="Style3"/>
        <w:numPr>
          <w:ilvl w:val="0"/>
          <w:numId w:val="5"/>
        </w:numPr>
        <w:framePr w:w="10435" w:h="6173" w:hRule="exact" w:wrap="none" w:vAnchor="page" w:hAnchor="page" w:x="1103" w:y="1694"/>
        <w:tabs>
          <w:tab w:leader="none" w:pos="4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обеспечению пожарной безопасности</w:t>
      </w:r>
    </w:p>
    <w:p>
      <w:pPr>
        <w:pStyle w:val="Style3"/>
        <w:numPr>
          <w:ilvl w:val="0"/>
          <w:numId w:val="7"/>
        </w:numPr>
        <w:framePr w:w="10435" w:h="6173" w:hRule="exact" w:wrap="none" w:vAnchor="page" w:hAnchor="page" w:x="1103" w:y="1694"/>
        <w:tabs>
          <w:tab w:leader="none" w:pos="4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положения.</w:t>
      </w:r>
    </w:p>
    <w:p>
      <w:pPr>
        <w:pStyle w:val="Style3"/>
        <w:numPr>
          <w:ilvl w:val="0"/>
          <w:numId w:val="7"/>
        </w:numPr>
        <w:framePr w:w="10435" w:h="6173" w:hRule="exact" w:wrap="none" w:vAnchor="page" w:hAnchor="page" w:x="1103" w:y="1694"/>
        <w:tabs>
          <w:tab w:leader="none" w:pos="41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требования к участникам тушения пожара</w:t>
      </w:r>
    </w:p>
    <w:p>
      <w:pPr>
        <w:pStyle w:val="Style3"/>
        <w:numPr>
          <w:ilvl w:val="0"/>
          <w:numId w:val="7"/>
        </w:numPr>
        <w:framePr w:w="10435" w:h="6173" w:hRule="exact" w:wrap="none" w:vAnchor="page" w:hAnchor="page" w:x="1103" w:y="1694"/>
        <w:tabs>
          <w:tab w:leader="none" w:pos="45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Описание организационно</w:t>
        <w:t>технических мероприятий по обеспечению пожарной безопасности линейного объекта, обоснование необходимости создания пожарной охраны объекта, расчет ее необходимых сил и средств</w:t>
      </w:r>
    </w:p>
    <w:p>
      <w:pPr>
        <w:pStyle w:val="Style3"/>
        <w:framePr w:wrap="none" w:vAnchor="page" w:hAnchor="page" w:x="1103" w:y="849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ГРАФИЧЕСКИЕ МАТЕРИАЛЫ:</w:t>
      </w:r>
    </w:p>
    <w:p>
      <w:pPr>
        <w:pStyle w:val="Style3"/>
        <w:framePr w:w="2688" w:h="695" w:hRule="exact" w:wrap="none" w:vAnchor="page" w:hAnchor="page" w:x="1170" w:y="910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1-15/07/2025-ДПТ/ЛО лист 1</w:t>
      </w:r>
    </w:p>
    <w:p>
      <w:pPr>
        <w:pStyle w:val="Style3"/>
        <w:framePr w:w="10435" w:h="1022" w:hRule="exact" w:wrap="none" w:vAnchor="page" w:hAnchor="page" w:x="1103" w:y="910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3000" w:right="2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Чертёж красных линий. Чертёж границ зон планируемого размещения линейных объектов. М 1:1000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00"/>
        <w:gridCol w:w="547"/>
        <w:gridCol w:w="619"/>
        <w:gridCol w:w="586"/>
        <w:gridCol w:w="874"/>
        <w:gridCol w:w="581"/>
        <w:gridCol w:w="178"/>
        <w:gridCol w:w="4536"/>
        <w:gridCol w:w="1282"/>
        <w:gridCol w:w="624"/>
      </w:tblGrid>
      <w:tr>
        <w:trPr>
          <w:trHeight w:val="734" w:hRule="exact"/>
        </w:trPr>
        <w:tc>
          <w:tcPr>
            <w:shd w:val="clear" w:color="auto" w:fill="FFFFFF"/>
            <w:gridSpan w:val="9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220" w:right="0" w:firstLine="0"/>
            </w:pPr>
            <w:r>
              <w:rPr>
                <w:rStyle w:val="CharStyle18"/>
              </w:rPr>
              <w:t>Номер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80" w:lineRule="exact"/>
              <w:ind w:left="0" w:right="0" w:firstLine="0"/>
            </w:pPr>
            <w:r>
              <w:rPr>
                <w:rStyle w:val="CharStyle18"/>
              </w:rPr>
              <w:t>тома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Обозначение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Наименование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18"/>
              </w:rPr>
              <w:t>Примечание</w:t>
            </w:r>
          </w:p>
        </w:tc>
      </w:tr>
      <w:tr>
        <w:trPr>
          <w:trHeight w:val="19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1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1-15/07/2025-ДПТ/ЛО (лист 1)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5"/>
              </w:rPr>
              <w:t>Проект планировки территории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22"/>
              </w:rPr>
              <w:t>Основная часть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Положение о размещении линейных объектов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Графическая часть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2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1-15/07/2025-ДПТ/ЛО (листы 2-5)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5"/>
              </w:rPr>
              <w:t>Проект планировки территории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22"/>
              </w:rPr>
              <w:t xml:space="preserve">Материалы по обоснованию </w:t>
            </w:r>
            <w:r>
              <w:rPr>
                <w:rStyle w:val="CharStyle18"/>
              </w:rPr>
              <w:t>Пояснительная записка Графическая часть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2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8"/>
              </w:rPr>
              <w:t>3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1-15/07/2025-ДПТ/ЛО (листы 6-7)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5"/>
              </w:rPr>
              <w:t>П роект межевания территории</w:t>
            </w:r>
          </w:p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22"/>
              </w:rPr>
              <w:t xml:space="preserve">Основная часть </w:t>
            </w:r>
            <w:r>
              <w:rPr>
                <w:rStyle w:val="CharStyle18"/>
              </w:rPr>
              <w:t xml:space="preserve">Текстовая часть Графическая часть </w:t>
            </w:r>
            <w:r>
              <w:rPr>
                <w:rStyle w:val="CharStyle22"/>
              </w:rPr>
              <w:t xml:space="preserve">Материалы по обоснованию </w:t>
            </w:r>
            <w:r>
              <w:rPr>
                <w:rStyle w:val="CharStyle18"/>
              </w:rPr>
              <w:t>Пояснительная записка Графическая часть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70" w:hRule="exact"/>
        </w:trPr>
        <w:tc>
          <w:tcPr>
            <w:shd w:val="clear" w:color="auto" w:fill="FFFFFF"/>
            <w:gridSpan w:val="10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5"/>
              </w:rPr>
              <w:t>1-15/07/2025-ДПТ/ЛО-ПЗ 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426" w:h="16248" w:wrap="none" w:vAnchor="page" w:hAnchor="page" w:x="1113" w:y="28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16248" w:wrap="none" w:vAnchor="page" w:hAnchor="page" w:x="1113" w:y="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60" w:right="0" w:firstLine="0"/>
            </w:pPr>
            <w:r>
              <w:rPr>
                <w:rStyle w:val="CharStyle23"/>
              </w:rPr>
              <w:t>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16248" w:wrap="none" w:vAnchor="page" w:hAnchor="page" w:x="1113" w:y="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26" w:h="16248" w:wrap="none" w:vAnchor="page" w:hAnchor="page" w:x="1113" w:y="28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26" w:h="16248" w:wrap="none" w:vAnchor="page" w:hAnchor="page" w:x="1113" w:y="28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numPr>
          <w:ilvl w:val="0"/>
          <w:numId w:val="9"/>
        </w:numPr>
        <w:framePr w:w="10426" w:h="11644" w:hRule="exact" w:wrap="none" w:vAnchor="page" w:hAnchor="page" w:x="1113" w:y="1207"/>
        <w:tabs>
          <w:tab w:leader="none" w:pos="1320" w:val="left"/>
        </w:tabs>
        <w:widowControl w:val="0"/>
        <w:keepNext w:val="0"/>
        <w:keepLines w:val="0"/>
        <w:shd w:val="clear" w:color="auto" w:fill="auto"/>
        <w:bidi w:val="0"/>
        <w:spacing w:before="0" w:after="580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</w:t>
      </w:r>
    </w:p>
    <w:p>
      <w:pPr>
        <w:pStyle w:val="Style26"/>
        <w:numPr>
          <w:ilvl w:val="1"/>
          <w:numId w:val="9"/>
        </w:numPr>
        <w:framePr w:w="10426" w:h="11644" w:hRule="exact" w:wrap="none" w:vAnchor="page" w:hAnchor="page" w:x="1113" w:y="1207"/>
        <w:tabs>
          <w:tab w:leader="none" w:pos="1527" w:val="left"/>
        </w:tabs>
        <w:widowControl w:val="0"/>
        <w:keepNext w:val="0"/>
        <w:keepLines w:val="0"/>
        <w:shd w:val="clear" w:color="auto" w:fill="auto"/>
        <w:bidi w:val="0"/>
        <w:spacing w:before="0" w:after="477" w:line="280" w:lineRule="exact"/>
        <w:ind w:left="300" w:right="0" w:firstLine="72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Канализационный коллектор с насосной станцией</w:t>
      </w:r>
      <w:bookmarkEnd w:id="6"/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rStyle w:val="CharStyle28"/>
        </w:rPr>
        <w:t xml:space="preserve">Наименование линейного объекта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канализационный коллектор с насосной станцией (далее - канализационный коллектор). В состав линейного объекта входят трубопроводы, колодцы, канализационная насосная станция. Указанные объекты являются неотъемлемой частью линейного объекта канализационного коллектора.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0" w:firstLine="720"/>
      </w:pPr>
      <w:r>
        <w:rPr>
          <w:rStyle w:val="CharStyle28"/>
        </w:rPr>
        <w:t xml:space="preserve">Назначение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линейного объекта - канализация хозяйственно-бытовая.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0" w:firstLine="720"/>
      </w:pPr>
      <w:r>
        <w:rPr>
          <w:rStyle w:val="CharStyle28"/>
        </w:rPr>
        <w:t xml:space="preserve">Категория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линейного объекта - вторая.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линейный объект не относится к опасным производственным объектам.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 строительства: открытая подземная прокладка трубопроводов канализации с устройством траншей.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0" w:firstLine="720"/>
      </w:pPr>
      <w:r>
        <w:rPr>
          <w:rStyle w:val="CharStyle28"/>
        </w:rPr>
        <w:t xml:space="preserve">Пропускная способность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составляет 16 м.вод.ст.</w:t>
      </w:r>
    </w:p>
    <w:p>
      <w:pPr>
        <w:pStyle w:val="Style24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Проектная мощность </w:t>
      </w:r>
      <w:r>
        <w:rPr>
          <w:rStyle w:val="CharStyle29"/>
          <w:b w:val="0"/>
          <w:bCs w:val="0"/>
        </w:rPr>
        <w:t>КНС - 80 м3/час.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rStyle w:val="CharStyle28"/>
        </w:rPr>
        <w:t xml:space="preserve">Протяжённость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- 180 м (без учёта внутриплощадочных трубопроводов, уточняется на следующей стадии проектирования).</w:t>
      </w:r>
    </w:p>
    <w:p>
      <w:pPr>
        <w:pStyle w:val="Style3"/>
        <w:framePr w:w="10426" w:h="11644" w:hRule="exact" w:wrap="none" w:vAnchor="page" w:hAnchor="page" w:x="111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rStyle w:val="CharStyle28"/>
        </w:rPr>
        <w:t xml:space="preserve">Интенсивность движения, грузонапряженность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приводятся ввиду размещения исключительно сетей инженерно-технического обеспечения.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numPr>
          <w:ilvl w:val="0"/>
          <w:numId w:val="11"/>
        </w:numPr>
        <w:framePr w:w="10426" w:h="13089" w:hRule="exact" w:wrap="none" w:vAnchor="page" w:hAnchor="page" w:x="1149" w:y="1240"/>
        <w:tabs>
          <w:tab w:leader="none" w:pos="1625" w:val="left"/>
        </w:tabs>
        <w:widowControl w:val="0"/>
        <w:keepNext w:val="0"/>
        <w:keepLines w:val="0"/>
        <w:shd w:val="clear" w:color="auto" w:fill="auto"/>
        <w:bidi w:val="0"/>
        <w:spacing w:before="0" w:after="424" w:line="485" w:lineRule="exact"/>
        <w:ind w:left="300" w:right="220" w:firstLine="72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Линейные объекты, подлежащие реконструкции в связи с изменением их местоположения</w:t>
      </w:r>
      <w:bookmarkEnd w:id="7"/>
    </w:p>
    <w:p>
      <w:pPr>
        <w:pStyle w:val="Style3"/>
        <w:framePr w:w="10426" w:h="13089" w:hRule="exact" w:wrap="none" w:vAnchor="page" w:hAnchor="page" w:x="1149" w:y="124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Линейные объекты, подлежащие реконструкции в связи с изменением их местоположения, отсутствуют, в связи с тем, что при пересечении с подземными и надземными инженерными коммуникациями расстояния по вертикали и горизонтали выдержаны в соответствии с требованиями СП 42.13330.2016 «Градостроительство. Планировка и застройка городских и сельских поселений».</w:t>
      </w:r>
    </w:p>
    <w:p>
      <w:pPr>
        <w:pStyle w:val="Style3"/>
        <w:framePr w:w="10426" w:h="13089" w:hRule="exact" w:wrap="none" w:vAnchor="page" w:hAnchor="page" w:x="1149" w:y="1240"/>
        <w:widowControl w:val="0"/>
        <w:keepNext w:val="0"/>
        <w:keepLines w:val="0"/>
        <w:shd w:val="clear" w:color="auto" w:fill="auto"/>
        <w:bidi w:val="0"/>
        <w:jc w:val="both"/>
        <w:spacing w:before="0" w:after="42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Следовательно, существующие инженерные сети не препятствуют прокладке планируемых к размещению сетей инженерно-технического обеспечения, реконструкция существующих сетей не требуется. Подготовка чертежа границ зон планируемого размещения линейных объектов, подлежащих реконструкции в связи с изменением их местоположения, не требуется.</w:t>
      </w:r>
    </w:p>
    <w:p>
      <w:pPr>
        <w:pStyle w:val="Style26"/>
        <w:numPr>
          <w:ilvl w:val="0"/>
          <w:numId w:val="9"/>
        </w:numPr>
        <w:framePr w:w="10426" w:h="13089" w:hRule="exact" w:wrap="none" w:vAnchor="page" w:hAnchor="page" w:x="1149" w:y="1240"/>
        <w:tabs>
          <w:tab w:leader="none" w:pos="1625" w:val="left"/>
          <w:tab w:leader="none" w:pos="5014" w:val="left"/>
          <w:tab w:leader="none" w:pos="7006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300" w:right="0" w:firstLine="72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Перечень субъектов</w:t>
        <w:tab/>
        <w:t>Российской</w:t>
        <w:tab/>
        <w:t>Федерации, перечень</w:t>
      </w:r>
      <w:bookmarkEnd w:id="8"/>
    </w:p>
    <w:p>
      <w:pPr>
        <w:pStyle w:val="Style24"/>
        <w:framePr w:w="10426" w:h="13089" w:hRule="exact" w:wrap="none" w:vAnchor="page" w:hAnchor="page" w:x="1149" w:y="1240"/>
        <w:widowControl w:val="0"/>
        <w:keepNext w:val="0"/>
        <w:keepLines w:val="0"/>
        <w:shd w:val="clear" w:color="auto" w:fill="auto"/>
        <w:bidi w:val="0"/>
        <w:spacing w:before="0"/>
        <w:ind w:left="30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</w:p>
    <w:p>
      <w:pPr>
        <w:pStyle w:val="Style3"/>
        <w:framePr w:w="10426" w:h="13089" w:hRule="exact" w:wrap="none" w:vAnchor="page" w:hAnchor="page" w:x="1149" w:y="124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Линейный объект канализационный коллектор запроектирован в Краснодарском крае, Новокубанском районе, Новокубанском городском поселении, городе Новокубанск, по улицам Спортивная и Московская.</w:t>
      </w:r>
    </w:p>
    <w:p>
      <w:pPr>
        <w:pStyle w:val="Style3"/>
        <w:framePr w:w="10426" w:h="13089" w:hRule="exact" w:wrap="none" w:vAnchor="page" w:hAnchor="page" w:x="1149" w:y="124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00" w:right="2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Затрагиваемые земли представлены землями, государственная собственность на которые не разграничена, земельными участками, находящимися в муниципальной собственности города Новокубанск, находящимися в аренде. Обоснование необходимости размещения объекта и его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099" w:h="1991" w:hRule="exact" w:wrap="none" w:vAnchor="page" w:hAnchor="page" w:x="1312" w:y="1235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инфраструктуры на землях сельскохозяйственного назначения, лесного, водного фондов, землях особо охраняемых природных территорий не требуется.</w:t>
      </w:r>
    </w:p>
    <w:p>
      <w:pPr>
        <w:pStyle w:val="Style3"/>
        <w:framePr w:w="10099" w:h="1991" w:hRule="exact" w:wrap="none" w:vAnchor="page" w:hAnchor="page" w:x="1312" w:y="123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16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Данная документация по планировке территории не предусматривает реализацию объектов федерального, регионального, местного значения.</w:t>
      </w:r>
    </w:p>
    <w:p>
      <w:pPr>
        <w:pStyle w:val="Style26"/>
        <w:numPr>
          <w:ilvl w:val="0"/>
          <w:numId w:val="9"/>
        </w:numPr>
        <w:framePr w:w="10099" w:h="5370" w:hRule="exact" w:wrap="none" w:vAnchor="page" w:hAnchor="page" w:x="1312" w:y="3649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424" w:line="485" w:lineRule="exact"/>
        <w:ind w:left="160" w:right="0" w:firstLine="70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границ зон планируемого размещения линейных объектов</w:t>
      </w:r>
      <w:bookmarkEnd w:id="9"/>
    </w:p>
    <w:p>
      <w:pPr>
        <w:pStyle w:val="Style3"/>
        <w:framePr w:w="10099" w:h="5370" w:hRule="exact" w:wrap="none" w:vAnchor="page" w:hAnchor="page" w:x="1312" w:y="364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канализационного коллектора, установленные в соответствии с нормами отвода земельных участков для конкретных видов линейных объектов с указанием границ зон планируемого размещения объектов капитального строительства, входящих в состав линейных объектов осуществляется в соответствии с системой координат, используемой для ведения Единого государственного реестра недвижимости. Перечень координат характерных точек границ зон планируемого размещения линейного объекта представлен в таблице 1.</w:t>
      </w:r>
    </w:p>
    <w:p>
      <w:pPr>
        <w:pStyle w:val="Style30"/>
        <w:framePr w:wrap="none" w:vAnchor="page" w:hAnchor="page" w:x="1437" w:y="96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1</w:t>
      </w:r>
    </w:p>
    <w:tbl>
      <w:tblPr>
        <w:tblOverlap w:val="never"/>
        <w:tblLayout w:type="fixed"/>
        <w:jc w:val="left"/>
      </w:tblPr>
      <w:tblGrid>
        <w:gridCol w:w="998"/>
        <w:gridCol w:w="1699"/>
        <w:gridCol w:w="1853"/>
      </w:tblGrid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№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Координаты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</w:rPr>
              <w:t>Y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486957.58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2301660.51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486954.54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2301662.94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2301664.09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486960.93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2301680.27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486960.4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2301681.79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2301686.97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486960.91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2301690.06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486971.8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2301700.88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486960.09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2301718.57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486940.98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1312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2301755.88</w:t>
            </w:r>
          </w:p>
        </w:tc>
      </w:tr>
    </w:tbl>
    <w:tbl>
      <w:tblPr>
        <w:tblOverlap w:val="never"/>
        <w:tblLayout w:type="fixed"/>
        <w:jc w:val="left"/>
      </w:tblPr>
      <w:tblGrid>
        <w:gridCol w:w="998"/>
        <w:gridCol w:w="1699"/>
        <w:gridCol w:w="1853"/>
      </w:tblGrid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№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Координаты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</w:rPr>
              <w:t>Y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486920.46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2301795.93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486904.64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2301826.8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486893.98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2301822.73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486892.27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2301826.12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486877.02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2301818.48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486885.09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2301802.52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486900.37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2301810.1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486896.71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2301817.35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486901.75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2301819.27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486915.12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4685" w:wrap="none" w:vAnchor="page" w:hAnchor="page" w:x="6631" w:y="100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2301793.19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5.7pt;margin-top:259.65pt;width:227.5pt;height:0;z-index:-251658240;mso-position-horizontal-relative:page;mso-position-vertical-relative:page">
            <v:stroke weight="0.7pt"/>
          </v:shape>
        </w:pict>
      </w:r>
    </w:p>
    <w:tbl>
      <w:tblPr>
        <w:tblOverlap w:val="never"/>
        <w:tblLayout w:type="fixed"/>
        <w:jc w:val="left"/>
      </w:tblPr>
      <w:tblGrid>
        <w:gridCol w:w="998"/>
        <w:gridCol w:w="1699"/>
        <w:gridCol w:w="185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№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Координаты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</w:rPr>
              <w:t>Y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486935.64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2301753.14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486955.49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2301714.39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486950.07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2301711.61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486952.76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2301706.25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486958.23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2301709.05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486961.54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2301702.58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486956.45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2301698.92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486941.42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792" w:wrap="none" w:vAnchor="page" w:hAnchor="page" w:x="1315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2301688.12</w:t>
            </w:r>
          </w:p>
        </w:tc>
      </w:tr>
    </w:tbl>
    <w:tbl>
      <w:tblPr>
        <w:tblOverlap w:val="never"/>
        <w:tblLayout w:type="fixed"/>
        <w:jc w:val="left"/>
      </w:tblPr>
      <w:tblGrid>
        <w:gridCol w:w="998"/>
        <w:gridCol w:w="1699"/>
        <w:gridCol w:w="185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№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Координаты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</w:rPr>
              <w:t>Y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486930.92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2301682.77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486944.99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2301668.9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486949.56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2301665.43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486949.31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2301665.06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486946.73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2301661.52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486951.05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2301658.06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486953.83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4550" w:h="3490" w:wrap="none" w:vAnchor="page" w:hAnchor="page" w:x="6633" w:y="1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"/>
              </w:rPr>
              <w:t>2301655.83</w:t>
            </w:r>
          </w:p>
        </w:tc>
      </w:tr>
    </w:tbl>
    <w:p>
      <w:pPr>
        <w:pStyle w:val="Style24"/>
        <w:numPr>
          <w:ilvl w:val="0"/>
          <w:numId w:val="9"/>
        </w:numPr>
        <w:framePr w:w="10094" w:h="1512" w:hRule="exact" w:wrap="none" w:vAnchor="page" w:hAnchor="page" w:x="1315" w:y="5526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</w:p>
    <w:p>
      <w:pPr>
        <w:pStyle w:val="Style3"/>
        <w:framePr w:w="10094" w:h="7781" w:hRule="exact" w:wrap="none" w:vAnchor="page" w:hAnchor="page" w:x="1315" w:y="7460"/>
        <w:tabs>
          <w:tab w:leader="none" w:pos="2973" w:val="left"/>
          <w:tab w:leader="none" w:pos="6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местоположения, настоящим проектом не приводится ввиду отсутствия сетей</w:t>
        <w:tab/>
        <w:t>инженерно-технического</w:t>
        <w:tab/>
        <w:t>обеспечения, подлежащих</w:t>
      </w:r>
    </w:p>
    <w:p>
      <w:pPr>
        <w:pStyle w:val="Style3"/>
        <w:framePr w:w="10094" w:h="7781" w:hRule="exact" w:wrap="none" w:vAnchor="page" w:hAnchor="page" w:x="1315" w:y="7460"/>
        <w:widowControl w:val="0"/>
        <w:keepNext w:val="0"/>
        <w:keepLines w:val="0"/>
        <w:shd w:val="clear" w:color="auto" w:fill="auto"/>
        <w:bidi w:val="0"/>
        <w:jc w:val="both"/>
        <w:spacing w:before="0" w:after="416" w:line="48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реконструкции.</w:t>
      </w:r>
    </w:p>
    <w:p>
      <w:pPr>
        <w:pStyle w:val="Style24"/>
        <w:numPr>
          <w:ilvl w:val="0"/>
          <w:numId w:val="9"/>
        </w:numPr>
        <w:framePr w:w="10094" w:h="7781" w:hRule="exact" w:wrap="none" w:vAnchor="page" w:hAnchor="page" w:x="1315" w:y="7460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424" w:line="485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объектов разрешённого строительства, входящих в состав линейных объектов в границах зон их планируемого размещения</w:t>
      </w:r>
    </w:p>
    <w:p>
      <w:pPr>
        <w:pStyle w:val="Style3"/>
        <w:framePr w:w="10094" w:h="7781" w:hRule="exact" w:wrap="none" w:vAnchor="page" w:hAnchor="page" w:x="1315" w:y="7460"/>
        <w:tabs>
          <w:tab w:leader="none" w:pos="95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Линейный объект канализационный коллектор, а также входящие в его состав трубопроводы, колодцы, канализационная насосная станция, являются объектами капитального строительства. Согласно части 4</w:t>
        <w:tab/>
        <w:t>ст.36</w:t>
      </w:r>
    </w:p>
    <w:p>
      <w:pPr>
        <w:pStyle w:val="Style3"/>
        <w:framePr w:w="10094" w:h="7781" w:hRule="exact" w:wrap="none" w:vAnchor="page" w:hAnchor="page" w:x="1315" w:y="746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Градостроительного кодекса РФ действие градостроительного регламента не распространяется на земельные участки, предназначенные для размещения линейных объектов и (или) занятые линейными объектами.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9" w:h="14055" w:hRule="exact" w:wrap="none" w:vAnchor="page" w:hAnchor="page" w:x="1372" w:y="1071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 не приводятся.</w:t>
      </w:r>
    </w:p>
    <w:p>
      <w:pPr>
        <w:pStyle w:val="Style3"/>
        <w:framePr w:w="9979" w:h="14055" w:hRule="exact" w:wrap="none" w:vAnchor="page" w:hAnchor="page" w:x="1372" w:y="1071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Зоны планируемого размещения линейного объекта расположены за границами исторического поселения, следовательно,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</w:r>
    </w:p>
    <w:p>
      <w:pPr>
        <w:pStyle w:val="Style3"/>
        <w:numPr>
          <w:ilvl w:val="0"/>
          <w:numId w:val="13"/>
        </w:numPr>
        <w:framePr w:w="9979" w:h="14055" w:hRule="exact" w:wrap="none" w:vAnchor="page" w:hAnchor="page" w:x="1372" w:y="1071"/>
        <w:tabs>
          <w:tab w:leader="none" w:pos="95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требований к цветовому решению внешнего облика таких объектов;</w:t>
      </w:r>
    </w:p>
    <w:p>
      <w:pPr>
        <w:pStyle w:val="Style3"/>
        <w:numPr>
          <w:ilvl w:val="0"/>
          <w:numId w:val="13"/>
        </w:numPr>
        <w:framePr w:w="9979" w:h="14055" w:hRule="exact" w:wrap="none" w:vAnchor="page" w:hAnchor="page" w:x="1372" w:y="1071"/>
        <w:tabs>
          <w:tab w:leader="none" w:pos="92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требованию к строительным материалам, определяющим внешний облик таких объектов;</w:t>
      </w:r>
    </w:p>
    <w:p>
      <w:pPr>
        <w:pStyle w:val="Style3"/>
        <w:numPr>
          <w:ilvl w:val="0"/>
          <w:numId w:val="13"/>
        </w:numPr>
        <w:framePr w:w="9979" w:h="14055" w:hRule="exact" w:wrap="none" w:vAnchor="page" w:hAnchor="page" w:x="1372" w:y="1071"/>
        <w:tabs>
          <w:tab w:leader="none" w:pos="92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 </w:t>
      </w:r>
      <w:r>
        <w:rPr>
          <w:rStyle w:val="CharStyle28"/>
        </w:rPr>
        <w:t>не подлежат установлению.</w:t>
      </w:r>
    </w:p>
    <w:p>
      <w:pPr>
        <w:pStyle w:val="Style26"/>
        <w:numPr>
          <w:ilvl w:val="0"/>
          <w:numId w:val="9"/>
        </w:numPr>
        <w:framePr w:w="9979" w:h="14055" w:hRule="exact" w:wrap="none" w:vAnchor="page" w:hAnchor="page" w:x="1372" w:y="1071"/>
        <w:tabs>
          <w:tab w:leader="none" w:pos="111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424" w:line="485" w:lineRule="exact"/>
        <w:ind w:left="0" w:right="0" w:firstLine="74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Планировочные ограничения (зоны с особыми условиями использования территории)</w:t>
      </w:r>
      <w:bookmarkEnd w:id="10"/>
    </w:p>
    <w:p>
      <w:pPr>
        <w:pStyle w:val="Style3"/>
        <w:framePr w:w="9979" w:h="14055" w:hRule="exact" w:wrap="none" w:vAnchor="page" w:hAnchor="page" w:x="1372" w:y="1071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Планировочные ограничения (зоны с особыми условиями использования территории) представляют собой градостроительные регламенты и обременения, которые необходимо соблюдать при проектировании. Все планировочные ограничения можно представить в четырех категориях:</w:t>
      </w:r>
    </w:p>
    <w:p>
      <w:pPr>
        <w:pStyle w:val="Style3"/>
        <w:numPr>
          <w:ilvl w:val="0"/>
          <w:numId w:val="13"/>
        </w:numPr>
        <w:framePr w:w="9979" w:h="14055" w:hRule="exact" w:wrap="none" w:vAnchor="page" w:hAnchor="page" w:x="1372" w:y="1071"/>
        <w:tabs>
          <w:tab w:leader="none" w:pos="111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 природного характера (зоны охраны объектов, которые необходимо защищать от влияния антропогенных факторов, в том числе водоохранные зоны, зоны санитарной охраны источников питьевого водоснабжения, особо охраняемые природные территории и т.п.);</w:t>
      </w:r>
    </w:p>
    <w:p>
      <w:pPr>
        <w:pStyle w:val="Style3"/>
        <w:numPr>
          <w:ilvl w:val="0"/>
          <w:numId w:val="13"/>
        </w:numPr>
        <w:framePr w:w="9979" w:h="14055" w:hRule="exact" w:wrap="none" w:vAnchor="page" w:hAnchor="page" w:x="1372" w:y="1071"/>
        <w:tabs>
          <w:tab w:leader="none" w:pos="102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 техногенного характера, связанные с объектами человеческой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84" w:h="14059" w:hRule="exact" w:wrap="none" w:vAnchor="page" w:hAnchor="page" w:x="1370" w:y="1066"/>
        <w:tabs>
          <w:tab w:leader="none" w:pos="28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деятельности (санитарно-защитные зоны, охранные зоны инженерных сетей и сооружений и.т.д);</w:t>
      </w:r>
    </w:p>
    <w:p>
      <w:pPr>
        <w:pStyle w:val="Style3"/>
        <w:numPr>
          <w:ilvl w:val="0"/>
          <w:numId w:val="13"/>
        </w:numPr>
        <w:framePr w:w="9984" w:h="14059" w:hRule="exact" w:wrap="none" w:vAnchor="page" w:hAnchor="page" w:x="1370" w:y="1066"/>
        <w:tabs>
          <w:tab w:leader="none" w:pos="96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 по требованиям охраны объектов культурного наследия (памятников истории и культуры);</w:t>
      </w:r>
    </w:p>
    <w:p>
      <w:pPr>
        <w:pStyle w:val="Style3"/>
        <w:numPr>
          <w:ilvl w:val="0"/>
          <w:numId w:val="13"/>
        </w:numPr>
        <w:framePr w:w="9984" w:h="14059" w:hRule="exact" w:wrap="none" w:vAnchor="page" w:hAnchor="page" w:x="1370" w:y="1066"/>
        <w:tabs>
          <w:tab w:leader="none" w:pos="96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естественные рубежи, фактически сложившиеся рельеф, существующая застройка, геологические и иные особенности территории, которые необходимо учитывать при освоении новых территорий под размещение объектов капитального строительства.</w:t>
      </w:r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вышеописанные зоны, являясь планировочными ограничениями, учитывались при принятии проектных решений.</w:t>
      </w:r>
    </w:p>
    <w:p>
      <w:pPr>
        <w:pStyle w:val="Style26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 природного характера</w:t>
      </w:r>
      <w:bookmarkEnd w:id="11"/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Фоновая сейсмичность территории (г. Новокубанск) по СП14.13330.2018 «Строительство в сейсмических районах» СНиП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II-7-81*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(карта ОСР-2015-А) составляет 7 баллов.</w:t>
      </w:r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особо охраняемых природных территорий в границах территории, в отношении которой осуществляется подготовка документации по планировке территории, отсутствуют.</w:t>
      </w:r>
    </w:p>
    <w:p>
      <w:pPr>
        <w:pStyle w:val="Style3"/>
        <w:framePr w:w="9984" w:h="14059" w:hRule="exact" w:wrap="none" w:vAnchor="page" w:hAnchor="page" w:x="1370" w:y="1066"/>
        <w:tabs>
          <w:tab w:leader="none" w:pos="3843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лесничеств,</w:t>
        <w:tab/>
        <w:t>участковых лесничеств, лесных кварталов,</w:t>
      </w:r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лесотаксационных выделов или частей лесотаксационных выделов в границах территории, в отношении которой осуществляется подготовка документации по планировке территории, отсутствуют.</w:t>
      </w:r>
    </w:p>
    <w:p>
      <w:pPr>
        <w:pStyle w:val="Style26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 техногенного характера</w:t>
      </w:r>
      <w:bookmarkEnd w:id="12"/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Территория, в отношении которой осуществляется подготовка документации по планировке территории, расположена в санитарно-защитной зоне предприятий.</w:t>
      </w:r>
    </w:p>
    <w:p>
      <w:pPr>
        <w:pStyle w:val="Style3"/>
        <w:framePr w:w="9984" w:h="14059" w:hRule="exact" w:wrap="none" w:vAnchor="page" w:hAnchor="page" w:x="1370" w:y="1066"/>
        <w:tabs>
          <w:tab w:leader="none" w:pos="3843" w:val="left"/>
          <w:tab w:leader="none" w:pos="717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сведениям</w:t>
        <w:tab/>
        <w:t>ЕГРН территория в</w:t>
        <w:tab/>
        <w:t>отношении которой</w:t>
      </w:r>
    </w:p>
    <w:p>
      <w:pPr>
        <w:pStyle w:val="Style3"/>
        <w:framePr w:w="9984" w:h="14059" w:hRule="exact" w:wrap="none" w:vAnchor="page" w:hAnchor="page" w:x="1370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осуществляется подготовка документации по планировке территории расположена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4" w:h="14060" w:hRule="exact" w:wrap="none" w:vAnchor="page" w:hAnchor="page" w:x="1375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границах следующих ЗОУИТ: 23:21-6.1495, 23:21-6.661, 23:21-6.1707,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23:21</w:t>
      </w:r>
      <w:r>
        <w:rPr>
          <w:lang w:val="ru-RU" w:eastAsia="ru-RU" w:bidi="ru-RU"/>
          <w:w w:val="100"/>
          <w:spacing w:val="0"/>
          <w:color w:val="000000"/>
          <w:position w:val="0"/>
        </w:rPr>
      </w:r>
      <w:r>
        <w:rPr>
          <w:lang w:val="en-US" w:eastAsia="en-US" w:bidi="en-US"/>
          <w:w w:val="100"/>
          <w:spacing w:val="0"/>
          <w:color w:val="000000"/>
          <w:position w:val="0"/>
        </w:rPr>
        <w:t>6.1739.</w:t>
      </w:r>
    </w:p>
    <w:p>
      <w:pPr>
        <w:pStyle w:val="Style24"/>
        <w:numPr>
          <w:ilvl w:val="0"/>
          <w:numId w:val="9"/>
        </w:numPr>
        <w:framePr w:w="9974" w:h="14060" w:hRule="exact" w:wrap="none" w:vAnchor="page" w:hAnchor="page" w:x="1375" w:y="1066"/>
        <w:tabs>
          <w:tab w:leader="none" w:pos="110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защите сохраняемых объектов капитального строительства, существующих и строящихся на момент подготовки проекта планировки территории, а также объектов капитального строительства, планируемых к капитальному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</w:p>
    <w:p>
      <w:pPr>
        <w:pStyle w:val="Style3"/>
        <w:framePr w:w="9974" w:h="14060" w:hRule="exact" w:wrap="none" w:vAnchor="page" w:hAnchor="page" w:x="1375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защите сохраняемых объектов капитального строительства, существующих и строящихся на момент подготовки проекта планировки территории, а также объектов капитального строительства, планируемых к капитальному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объектов, в границах территории, в отношении которой осуществляется подготовка проекта планировки территории - не предусматривается.</w:t>
      </w:r>
    </w:p>
    <w:p>
      <w:pPr>
        <w:pStyle w:val="Style3"/>
        <w:framePr w:w="9974" w:h="14060" w:hRule="exact" w:wrap="none" w:vAnchor="page" w:hAnchor="page" w:x="1375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пересечении линейного объекта с инженерными коммуникациями расстояния по вертикали и горизонтали необходимо выдержать в соответствии с требованиями СП 42.13330.2016 «Градостроительство. Планировка и застройка городских и сельских поселений».</w:t>
      </w:r>
    </w:p>
    <w:p>
      <w:pPr>
        <w:pStyle w:val="Style3"/>
        <w:framePr w:w="9974" w:h="14060" w:hRule="exact" w:wrap="none" w:vAnchor="page" w:hAnchor="page" w:x="1375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обнаружении действующих подземных коммуникаций и других сооружений, не обозначенных в данной документации, земляные работы должны быть приостановлены и на место работы вызваны представители организаций, эксплуатирующие эти сооружения. Одновременно указанные места ограждаются и принимаются меры к предохранению обнаруженных подземных сооружений от повреждений.</w:t>
      </w:r>
    </w:p>
    <w:p>
      <w:pPr>
        <w:pStyle w:val="Style3"/>
        <w:framePr w:w="9974" w:h="14060" w:hRule="exact" w:wrap="none" w:vAnchor="page" w:hAnchor="page" w:x="1375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здания, строения, сооружения, согласно ранее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099" w:h="14870" w:hRule="exact" w:wrap="none" w:vAnchor="page" w:hAnchor="page" w:x="1312" w:y="803"/>
        <w:widowControl w:val="0"/>
        <w:keepNext w:val="0"/>
        <w:keepLines w:val="0"/>
        <w:shd w:val="clear" w:color="auto" w:fill="auto"/>
        <w:bidi w:val="0"/>
        <w:jc w:val="both"/>
        <w:spacing w:before="0" w:after="420" w:line="485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утвержденной документацией по планировке территории, проектируемым линейным объектом не пересекаются.</w:t>
      </w:r>
    </w:p>
    <w:p>
      <w:pPr>
        <w:pStyle w:val="Style24"/>
        <w:numPr>
          <w:ilvl w:val="0"/>
          <w:numId w:val="9"/>
        </w:numPr>
        <w:framePr w:w="10099" w:h="14870" w:hRule="exact" w:wrap="none" w:vAnchor="page" w:hAnchor="page" w:x="1312" w:y="803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spacing w:before="0" w:after="424" w:line="485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сохранению объектов культурного наследия от возможного негативного воздействия в связи с размещением линейных объектов</w:t>
      </w:r>
    </w:p>
    <w:p>
      <w:pPr>
        <w:pStyle w:val="Style3"/>
        <w:framePr w:w="10099" w:h="14870" w:hRule="exact" w:wrap="none" w:vAnchor="page" w:hAnchor="page" w:x="1312" w:y="803"/>
        <w:widowControl w:val="0"/>
        <w:keepNext w:val="0"/>
        <w:keepLines w:val="0"/>
        <w:shd w:val="clear" w:color="auto" w:fill="auto"/>
        <w:bidi w:val="0"/>
        <w:jc w:val="both"/>
        <w:spacing w:before="0" w:after="580" w:line="480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данным единого государственного реестра объектов культурного наследия (памятников истории и культуры) народов Российской Федерации, перечня выявленных объектов культурного наследия, списка объектов, обладающих признаками объектов культурного наследия, материалам архива Управления, объекты культурного наследия (памятники истории и культуры), а также их защитные зоны на рассматриваемой территории отсутствуют.</w:t>
      </w:r>
    </w:p>
    <w:p>
      <w:pPr>
        <w:pStyle w:val="Style26"/>
        <w:numPr>
          <w:ilvl w:val="0"/>
          <w:numId w:val="9"/>
        </w:numPr>
        <w:framePr w:w="10099" w:h="14870" w:hRule="exact" w:wrap="none" w:vAnchor="page" w:hAnchor="page" w:x="1312" w:y="803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spacing w:before="0" w:after="457" w:line="280" w:lineRule="exact"/>
        <w:ind w:left="0" w:right="0" w:firstLine="740"/>
      </w:pPr>
      <w:bookmarkStart w:id="13" w:name="bookmark13"/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охране окружающей среды</w:t>
      </w:r>
      <w:bookmarkEnd w:id="13"/>
    </w:p>
    <w:p>
      <w:pPr>
        <w:pStyle w:val="Style26"/>
        <w:numPr>
          <w:ilvl w:val="1"/>
          <w:numId w:val="9"/>
        </w:numPr>
        <w:framePr w:w="10099" w:h="14870" w:hRule="exact" w:wrap="none" w:vAnchor="page" w:hAnchor="page" w:x="1312" w:y="803"/>
        <w:tabs>
          <w:tab w:leader="none" w:pos="1233" w:val="left"/>
        </w:tabs>
        <w:widowControl w:val="0"/>
        <w:keepNext w:val="0"/>
        <w:keepLines w:val="0"/>
        <w:shd w:val="clear" w:color="auto" w:fill="auto"/>
        <w:bidi w:val="0"/>
        <w:spacing w:before="0" w:after="297" w:line="280" w:lineRule="exact"/>
        <w:ind w:left="0" w:right="0" w:firstLine="740"/>
      </w:pPr>
      <w:bookmarkStart w:id="14" w:name="bookmark14"/>
      <w:r>
        <w:rPr>
          <w:lang w:val="ru-RU" w:eastAsia="ru-RU" w:bidi="ru-RU"/>
          <w:w w:val="100"/>
          <w:spacing w:val="0"/>
          <w:color w:val="000000"/>
          <w:position w:val="0"/>
        </w:rPr>
        <w:t>Охрана атмосферного воздуха</w:t>
      </w:r>
      <w:bookmarkEnd w:id="14"/>
    </w:p>
    <w:p>
      <w:pPr>
        <w:pStyle w:val="Style26"/>
        <w:framePr w:w="10099" w:h="14870" w:hRule="exact" w:wrap="none" w:vAnchor="page" w:hAnchor="page" w:x="1312" w:y="80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40"/>
      </w:pPr>
      <w:bookmarkStart w:id="15" w:name="bookmark15"/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</w:t>
      </w:r>
      <w:bookmarkEnd w:id="15"/>
    </w:p>
    <w:p>
      <w:pPr>
        <w:pStyle w:val="Style3"/>
        <w:framePr w:w="10099" w:h="14870" w:hRule="exact" w:wrap="none" w:vAnchor="page" w:hAnchor="page" w:x="1312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проекте предусмотрен ряд мероприятий, снижающих выброс вредных веществ в атмосферу:</w:t>
      </w:r>
    </w:p>
    <w:p>
      <w:pPr>
        <w:pStyle w:val="Style3"/>
        <w:numPr>
          <w:ilvl w:val="0"/>
          <w:numId w:val="13"/>
        </w:numPr>
        <w:framePr w:w="10099" w:h="14870" w:hRule="exact" w:wrap="none" w:vAnchor="page" w:hAnchor="page" w:x="1312" w:y="803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увлажнение пылящих материалов при разгрузке, складировании и проведении земляных работ;</w:t>
      </w:r>
    </w:p>
    <w:p>
      <w:pPr>
        <w:pStyle w:val="Style3"/>
        <w:numPr>
          <w:ilvl w:val="0"/>
          <w:numId w:val="13"/>
        </w:numPr>
        <w:framePr w:w="10099" w:h="14870" w:hRule="exact" w:wrap="none" w:vAnchor="page" w:hAnchor="page" w:x="1312" w:y="803"/>
        <w:tabs>
          <w:tab w:leader="none" w:pos="1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неодновременности проведения работ, связанных с пылеобразованием;</w:t>
      </w:r>
    </w:p>
    <w:p>
      <w:pPr>
        <w:pStyle w:val="Style3"/>
        <w:numPr>
          <w:ilvl w:val="0"/>
          <w:numId w:val="13"/>
        </w:numPr>
        <w:framePr w:w="10099" w:h="14870" w:hRule="exact" w:wrap="none" w:vAnchor="page" w:hAnchor="page" w:x="1312" w:y="803"/>
        <w:tabs>
          <w:tab w:leader="none" w:pos="1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отрегулированной автотехники, обеспечивающей минимальный выброс вредных веществ. Выполнение регулярных проверок состава выхлопов автомобилей и дорожной техники и недопущение к работе техники с повышенным содержанием вредных веществ в выхлопных газах;</w:t>
      </w:r>
    </w:p>
    <w:p>
      <w:pPr>
        <w:pStyle w:val="Style3"/>
        <w:numPr>
          <w:ilvl w:val="0"/>
          <w:numId w:val="13"/>
        </w:numPr>
        <w:framePr w:w="10099" w:h="14870" w:hRule="exact" w:wrap="none" w:vAnchor="page" w:hAnchor="page" w:x="1312" w:y="803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8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длительных перерывах в работе (более 15 мин) запрещается оставлять</w:t>
      </w:r>
    </w:p>
    <w:p>
      <w:pPr>
        <w:pStyle w:val="Style33"/>
        <w:framePr w:w="10099" w:h="14870" w:hRule="exact" w:wrap="none" w:vAnchor="page" w:hAnchor="page" w:x="1312" w:y="803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9" w:h="12610" w:hRule="exact" w:wrap="none" w:vAnchor="page" w:hAnchor="page" w:x="1372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механизмы с включенными двигателями;</w:t>
      </w:r>
    </w:p>
    <w:p>
      <w:pPr>
        <w:pStyle w:val="Style3"/>
        <w:numPr>
          <w:ilvl w:val="0"/>
          <w:numId w:val="13"/>
        </w:numPr>
        <w:framePr w:w="9979" w:h="12610" w:hRule="exact" w:wrap="none" w:vAnchor="page" w:hAnchor="page" w:x="1372" w:y="1066"/>
        <w:tabs>
          <w:tab w:leader="none" w:pos="106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прогреве двигателей рекомендуется применение устройств по прогреву и облегчению запуска двигателей, что позволяет на 30 % сократить выбросы на стоянках техники;</w:t>
      </w:r>
    </w:p>
    <w:p>
      <w:pPr>
        <w:pStyle w:val="Style3"/>
        <w:numPr>
          <w:ilvl w:val="0"/>
          <w:numId w:val="13"/>
        </w:numPr>
        <w:framePr w:w="9979" w:h="12610" w:hRule="exact" w:wrap="none" w:vAnchor="page" w:hAnchor="page" w:x="1372" w:y="1066"/>
        <w:tabs>
          <w:tab w:leader="none" w:pos="106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ремонт строительно-монтажной техники производить только на производственной базе подрядчика;</w:t>
      </w:r>
    </w:p>
    <w:p>
      <w:pPr>
        <w:pStyle w:val="Style3"/>
        <w:numPr>
          <w:ilvl w:val="0"/>
          <w:numId w:val="13"/>
        </w:numPr>
        <w:framePr w:w="9979" w:h="12610" w:hRule="exact" w:wrap="none" w:vAnchor="page" w:hAnchor="page" w:x="1372" w:y="1066"/>
        <w:tabs>
          <w:tab w:leader="none" w:pos="95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допускается сжигание сгораемых отходов.</w:t>
      </w:r>
    </w:p>
    <w:p>
      <w:pPr>
        <w:pStyle w:val="Style3"/>
        <w:framePr w:w="9979" w:h="12610" w:hRule="exact" w:wrap="none" w:vAnchor="page" w:hAnchor="page" w:x="1372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всех мероприятиях по обеспечению охраны окружающей среды важную роль должен играть обслуживающий персонал. От квалификации исполнителей, их дисциплины и аккуратности зависит степень влияния на атмосферный воздух при эксплуатации машин и механизмов и проведение соответствующих проектных работ.</w:t>
      </w:r>
    </w:p>
    <w:p>
      <w:pPr>
        <w:pStyle w:val="Style26"/>
        <w:framePr w:w="9979" w:h="12610" w:hRule="exact" w:wrap="none" w:vAnchor="page" w:hAnchor="page" w:x="1372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16" w:name="bookmark16"/>
      <w:r>
        <w:rPr>
          <w:lang w:val="ru-RU" w:eastAsia="ru-RU" w:bidi="ru-RU"/>
          <w:w w:val="100"/>
          <w:spacing w:val="0"/>
          <w:color w:val="000000"/>
          <w:position w:val="0"/>
        </w:rPr>
        <w:t>Эксплуатация</w:t>
      </w:r>
      <w:bookmarkEnd w:id="16"/>
    </w:p>
    <w:p>
      <w:pPr>
        <w:pStyle w:val="Style3"/>
        <w:framePr w:w="9979" w:h="12610" w:hRule="exact" w:wrap="none" w:vAnchor="page" w:hAnchor="page" w:x="1372" w:y="106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принятым в проекте основным воздухоохранным мероприятиям относятся планировочные и технологические мероприятия, направленные на сокращение объемов выбросов и снижение их приземной концентрации. Планировочные мероприятия, влияющие на воздействие выбросов вредных веществ от объекта на окружающую среду, предусматривают максимально возможное сохранение существующих зелёных насаждений в границе планируемого размещения линейного объекта, озеленение свободных от покрытий участков с устройством газонов, а также размещение отдельных кустарников/деревьев в границах тротуаров. Эксплуатация объекта оказывает допустимое воздействие на уровень загрязнения атмосферы в данном районе, поэтому дополнительных мероприятий по снижению воздействия на атмосферный воздух не требуются.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numPr>
          <w:ilvl w:val="1"/>
          <w:numId w:val="9"/>
        </w:numPr>
        <w:framePr w:w="9974" w:h="12580" w:hRule="exact" w:wrap="none" w:vAnchor="page" w:hAnchor="page" w:x="1386" w:y="1204"/>
        <w:tabs>
          <w:tab w:leader="none" w:pos="126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297" w:line="280" w:lineRule="exact"/>
        <w:ind w:left="0" w:right="0" w:firstLine="740"/>
      </w:pPr>
      <w:bookmarkStart w:id="17" w:name="bookmark17"/>
      <w:r>
        <w:rPr>
          <w:lang w:val="ru-RU" w:eastAsia="ru-RU" w:bidi="ru-RU"/>
          <w:w w:val="100"/>
          <w:spacing w:val="0"/>
          <w:color w:val="000000"/>
          <w:position w:val="0"/>
        </w:rPr>
        <w:t>Шумовое воздействие линейного объекта</w:t>
      </w:r>
      <w:bookmarkEnd w:id="17"/>
    </w:p>
    <w:p>
      <w:pPr>
        <w:pStyle w:val="Style26"/>
        <w:framePr w:w="9974" w:h="12580" w:hRule="exact" w:wrap="none" w:vAnchor="page" w:hAnchor="page" w:x="1386" w:y="1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18" w:name="bookmark18"/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</w:t>
      </w:r>
      <w:bookmarkEnd w:id="18"/>
    </w:p>
    <w:p>
      <w:pPr>
        <w:pStyle w:val="Style3"/>
        <w:framePr w:w="9974" w:h="12580" w:hRule="exact" w:wrap="none" w:vAnchor="page" w:hAnchor="page" w:x="1386" w:y="1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результатов расчетов уровней шума, создаваемого работой спецтех</w:t>
        <w:t xml:space="preserve">ники, показывает, что уровень звука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(L)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превышает эквивалентный уровень зву</w:t>
        <w:t>ка - 55 дБА и максимальный 70 дБА для территорий, прилегающих к соседним зданиям. Таким образом, строительные работы возможно проводить при соблюдении мероприятий, снижающих уровень шума:</w:t>
      </w:r>
    </w:p>
    <w:p>
      <w:pPr>
        <w:pStyle w:val="Style3"/>
        <w:numPr>
          <w:ilvl w:val="0"/>
          <w:numId w:val="13"/>
        </w:numPr>
        <w:framePr w:w="9974" w:h="12580" w:hRule="exact" w:wrap="none" w:vAnchor="page" w:hAnchor="page" w:x="1386" w:y="1204"/>
        <w:tabs>
          <w:tab w:leader="none" w:pos="1005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строительные работы должны проводиться только в дневное время суток;</w:t>
      </w:r>
    </w:p>
    <w:p>
      <w:pPr>
        <w:pStyle w:val="Style3"/>
        <w:numPr>
          <w:ilvl w:val="0"/>
          <w:numId w:val="13"/>
        </w:numPr>
        <w:framePr w:w="9974" w:h="12580" w:hRule="exact" w:wrap="none" w:vAnchor="page" w:hAnchor="page" w:x="1386" w:y="1204"/>
        <w:tabs>
          <w:tab w:leader="none" w:pos="975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техника должна быть исправна и настроена на минимальный нагрузочный режим;</w:t>
      </w:r>
    </w:p>
    <w:p>
      <w:pPr>
        <w:pStyle w:val="Style3"/>
        <w:numPr>
          <w:ilvl w:val="0"/>
          <w:numId w:val="13"/>
        </w:numPr>
        <w:framePr w:w="9974" w:h="12580" w:hRule="exact" w:wrap="none" w:vAnchor="page" w:hAnchor="page" w:x="1386" w:y="1204"/>
        <w:tabs>
          <w:tab w:leader="none" w:pos="1005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соблюдать неодновременность работы строительной техники.</w:t>
      </w:r>
    </w:p>
    <w:p>
      <w:pPr>
        <w:pStyle w:val="Style26"/>
        <w:framePr w:w="9974" w:h="12580" w:hRule="exact" w:wrap="none" w:vAnchor="page" w:hAnchor="page" w:x="1386" w:y="1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19" w:name="bookmark19"/>
      <w:r>
        <w:rPr>
          <w:lang w:val="ru-RU" w:eastAsia="ru-RU" w:bidi="ru-RU"/>
          <w:w w:val="100"/>
          <w:spacing w:val="0"/>
          <w:color w:val="000000"/>
          <w:position w:val="0"/>
        </w:rPr>
        <w:t>Эксплуатация</w:t>
      </w:r>
      <w:bookmarkEnd w:id="19"/>
    </w:p>
    <w:p>
      <w:pPr>
        <w:pStyle w:val="Style3"/>
        <w:framePr w:w="9974" w:h="12580" w:hRule="exact" w:wrap="none" w:vAnchor="page" w:hAnchor="page" w:x="1386" w:y="1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результатов расчетов уровней шума, создаваемого источниками объекта показывает, что уровень звука не превышает в дневное и ночное время суток:</w:t>
      </w:r>
    </w:p>
    <w:p>
      <w:pPr>
        <w:pStyle w:val="Style3"/>
        <w:numPr>
          <w:ilvl w:val="0"/>
          <w:numId w:val="13"/>
        </w:numPr>
        <w:framePr w:w="9974" w:h="12580" w:hRule="exact" w:wrap="none" w:vAnchor="page" w:hAnchor="page" w:x="1386" w:y="1204"/>
        <w:tabs>
          <w:tab w:leader="none" w:pos="975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эквивалентный и максимальный показатель для территорий, прилегающих к соседним зданиям;</w:t>
      </w:r>
    </w:p>
    <w:p>
      <w:pPr>
        <w:pStyle w:val="Style3"/>
        <w:numPr>
          <w:ilvl w:val="0"/>
          <w:numId w:val="13"/>
        </w:numPr>
        <w:framePr w:w="9974" w:h="12580" w:hRule="exact" w:wrap="none" w:vAnchor="page" w:hAnchor="page" w:x="1386" w:y="1204"/>
        <w:tabs>
          <w:tab w:leader="none" w:pos="975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эквивалентный и максимальный показатель проникающего шума в помещения через наружную стену с окном.</w:t>
      </w:r>
    </w:p>
    <w:p>
      <w:pPr>
        <w:pStyle w:val="Style26"/>
        <w:numPr>
          <w:ilvl w:val="1"/>
          <w:numId w:val="9"/>
        </w:numPr>
        <w:framePr w:w="9974" w:h="12580" w:hRule="exact" w:wrap="none" w:vAnchor="page" w:hAnchor="page" w:x="1386" w:y="1204"/>
        <w:tabs>
          <w:tab w:leader="none" w:pos="126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283" w:line="280" w:lineRule="exact"/>
        <w:ind w:left="0" w:right="0" w:firstLine="740"/>
      </w:pPr>
      <w:bookmarkStart w:id="20" w:name="bookmark20"/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размеров СЗЗ проектируемого объекта</w:t>
      </w:r>
      <w:bookmarkEnd w:id="20"/>
    </w:p>
    <w:p>
      <w:pPr>
        <w:pStyle w:val="Style3"/>
        <w:framePr w:w="9974" w:h="12580" w:hRule="exact" w:wrap="none" w:vAnchor="page" w:hAnchor="page" w:x="1386" w:y="120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санитарно-защитной зоны для проектируемой канализационной насосной станции устанавливается в границах земельного участка с кадастровым номером 23:21:0401005:5607.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numPr>
          <w:ilvl w:val="1"/>
          <w:numId w:val="9"/>
        </w:numPr>
        <w:framePr w:w="9974" w:h="14055" w:hRule="exact" w:wrap="none" w:vAnchor="page" w:hAnchor="page" w:x="1386" w:y="1039"/>
        <w:tabs>
          <w:tab w:leader="none" w:pos="122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420" w:line="480" w:lineRule="exact"/>
        <w:ind w:left="0" w:right="0" w:firstLine="740"/>
      </w:pPr>
      <w:bookmarkStart w:id="21" w:name="bookmark21"/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охране поверхностных и подземных вод от загрязнения</w:t>
      </w:r>
      <w:bookmarkEnd w:id="21"/>
    </w:p>
    <w:p>
      <w:pPr>
        <w:pStyle w:val="Style26"/>
        <w:framePr w:w="9974" w:h="14055" w:hRule="exact" w:wrap="none" w:vAnchor="page" w:hAnchor="page" w:x="1386" w:y="103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22" w:name="bookmark22"/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</w:t>
      </w:r>
      <w:bookmarkEnd w:id="22"/>
    </w:p>
    <w:p>
      <w:pPr>
        <w:pStyle w:val="Style3"/>
        <w:framePr w:w="9974" w:h="14055" w:hRule="exact" w:wrap="none" w:vAnchor="page" w:hAnchor="page" w:x="1386" w:y="103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строительстве возможно химическое загрязнение поверхностного стока на участках, где предполагается использование автомобильной и строительной техники и транспорт загрязняющих веществ. Потенциальными загрязняющими веществами являются нефтепродукты, масла. Транспорт загрязняющих веществ может осуществляться также и с подземными водами.</w:t>
      </w:r>
    </w:p>
    <w:p>
      <w:pPr>
        <w:pStyle w:val="Style3"/>
        <w:framePr w:w="9974" w:h="14055" w:hRule="exact" w:wrap="none" w:vAnchor="page" w:hAnchor="page" w:x="1386" w:y="103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защите поверхностных вод от загрязнения во время проведения строительства, призванные к сохранению благоприятного состояния водной среды: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113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обязательное соблюдение границ территорий, отводимых для строительства;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99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заправка автотранспорта должна производиться на АЗС;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113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заправка строительной техники с ограниченной подвижностью производится топливозаправщиком с помощью шланга, имеющего затвор у выпускного отверстия, и с применением поддонов, на организованной временной площадке отстоя техники;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969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аварийном разливе нефтепродуктов очаг загрязнения локализуется, а загрязненный грунт вывозится и подвергается переработке;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969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запрещается проведение технического обслуживания и планового ремонта техники и механизмов в зоне проведения работ, мойки технических средств.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113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выход автотранспортной техники на производство работ в случае подтекания горюче-смазочных материалов запрещается;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99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вдоль трассы проведения работ устанавливаются биотуалеты;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99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бытовых и хозяйственных нужд необходимо использовать привозную</w:t>
      </w:r>
    </w:p>
    <w:p>
      <w:pPr>
        <w:pStyle w:val="Style3"/>
        <w:framePr w:w="9974" w:h="14055" w:hRule="exact" w:wrap="none" w:vAnchor="page" w:hAnchor="page" w:x="1386" w:y="103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воду;</w:t>
      </w:r>
    </w:p>
    <w:p>
      <w:pPr>
        <w:pStyle w:val="Style3"/>
        <w:numPr>
          <w:ilvl w:val="0"/>
          <w:numId w:val="13"/>
        </w:numPr>
        <w:framePr w:w="9974" w:h="14055" w:hRule="exact" w:wrap="none" w:vAnchor="page" w:hAnchor="page" w:x="1386" w:y="1039"/>
        <w:tabs>
          <w:tab w:leader="none" w:pos="113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временное хранение мусора от бытовых помещений необходимо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4" w:h="14060" w:hRule="exact" w:wrap="none" w:vAnchor="page" w:hAnchor="page" w:x="1386" w:y="1033"/>
        <w:tabs>
          <w:tab w:leader="none" w:pos="39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осуществлять в специальных контейнерах на водонепроницаемой площадке, площадью, в три раза превышающей основание контейнера под навесом (отходы вывозятся раз в три дня для постоянного складирования на санкционированной свалке);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97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складов горюче-смазочных материалов на территории строительства не предусматривается;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98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упорядоченная транспортировка и складирование сыпучих и жидких материалов;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101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интенсивных дождях работы в связных грунтах прекращаются;</w:t>
      </w:r>
    </w:p>
    <w:p>
      <w:pPr>
        <w:pStyle w:val="Style3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Предусмотренные мероприятия исключают опасное негативное</w:t>
      </w:r>
    </w:p>
    <w:p>
      <w:pPr>
        <w:pStyle w:val="Style3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воздействие, заключающееся в истощении и загрязнении поверхностных и подземных вод в период строительства объекта.</w:t>
      </w:r>
    </w:p>
    <w:p>
      <w:pPr>
        <w:pStyle w:val="Style3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выполнением мероприятий по охране природы и состоянием окружающей среды при строительстве осуществляется руководителями подрядных организаций при надзоре со стороны руководства Заказчика.</w:t>
      </w:r>
    </w:p>
    <w:p>
      <w:pPr>
        <w:pStyle w:val="Style26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23" w:name="bookmark23"/>
      <w:r>
        <w:rPr>
          <w:lang w:val="ru-RU" w:eastAsia="ru-RU" w:bidi="ru-RU"/>
          <w:w w:val="100"/>
          <w:spacing w:val="0"/>
          <w:color w:val="000000"/>
          <w:position w:val="0"/>
        </w:rPr>
        <w:t>Эксплуатация</w:t>
      </w:r>
      <w:bookmarkEnd w:id="23"/>
    </w:p>
    <w:p>
      <w:pPr>
        <w:pStyle w:val="Style3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предотвращения загрязнения поверхностных и грунтовых вод и окружающей местности предусмотрены следующие мероприятия: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101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сбор поверхностных сточных вод (сброс вод в ливневую канализацию);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98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устройство канализационных сетей для организованного сбора и транспор - тировки сточных вод и исключения аварийных сбросов;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101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устройство водонепроницаемых покрытий на проездах;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98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гидроизоляция и герметизация подземных сооружений, исключающая попадание загрязнения в грунт;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98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систематическое поддержание в работоспособном состоянии системы водоотвода;</w:t>
      </w:r>
    </w:p>
    <w:p>
      <w:pPr>
        <w:pStyle w:val="Style3"/>
        <w:numPr>
          <w:ilvl w:val="0"/>
          <w:numId w:val="13"/>
        </w:numPr>
        <w:framePr w:w="9974" w:h="14060" w:hRule="exact" w:wrap="none" w:vAnchor="page" w:hAnchor="page" w:x="1386" w:y="1033"/>
        <w:tabs>
          <w:tab w:leader="none" w:pos="101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прочистка и устранение мелких повреждений ливневой канализации.</w:t>
      </w:r>
    </w:p>
    <w:p>
      <w:pPr>
        <w:pStyle w:val="Style3"/>
        <w:framePr w:w="9974" w:h="14060" w:hRule="exact" w:wrap="none" w:vAnchor="page" w:hAnchor="page" w:x="1386" w:y="103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соблюдении технологических требований исключается загрязнение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0" w:h="1794" w:hRule="exact" w:wrap="none" w:vAnchor="page" w:hAnchor="page" w:x="1389" w:y="1193"/>
        <w:widowControl w:val="0"/>
        <w:keepNext w:val="0"/>
        <w:keepLines w:val="0"/>
        <w:shd w:val="clear" w:color="auto" w:fill="auto"/>
        <w:bidi w:val="0"/>
        <w:jc w:val="left"/>
        <w:spacing w:before="0" w:after="64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окружающей среды.</w:t>
      </w:r>
    </w:p>
    <w:p>
      <w:pPr>
        <w:pStyle w:val="Style26"/>
        <w:numPr>
          <w:ilvl w:val="1"/>
          <w:numId w:val="9"/>
        </w:numPr>
        <w:framePr w:w="9970" w:h="1794" w:hRule="exact" w:wrap="none" w:vAnchor="page" w:hAnchor="page" w:x="1389" w:y="1193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spacing w:before="0" w:after="159" w:line="280" w:lineRule="exact"/>
        <w:ind w:left="0" w:right="0" w:firstLine="740"/>
      </w:pPr>
      <w:bookmarkStart w:id="24" w:name="bookmark24"/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охране объектов растительного и животного</w:t>
      </w:r>
      <w:bookmarkEnd w:id="24"/>
    </w:p>
    <w:p>
      <w:pPr>
        <w:pStyle w:val="Style26"/>
        <w:framePr w:w="9970" w:h="1794" w:hRule="exact" w:wrap="none" w:vAnchor="page" w:hAnchor="page" w:x="1389" w:y="11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5" w:name="bookmark25"/>
      <w:r>
        <w:rPr>
          <w:lang w:val="ru-RU" w:eastAsia="ru-RU" w:bidi="ru-RU"/>
          <w:w w:val="100"/>
          <w:spacing w:val="0"/>
          <w:color w:val="000000"/>
          <w:position w:val="0"/>
        </w:rPr>
        <w:t>мира</w:t>
      </w:r>
      <w:bookmarkEnd w:id="25"/>
    </w:p>
    <w:p>
      <w:pPr>
        <w:pStyle w:val="Style26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40"/>
      </w:pPr>
      <w:bookmarkStart w:id="26" w:name="bookmark26"/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</w:t>
      </w:r>
      <w:bookmarkEnd w:id="26"/>
    </w:p>
    <w:p>
      <w:pPr>
        <w:pStyle w:val="Style3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предлагаются следующие мероприятия по ослаблению воздействия на животный мир: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исключение использования неисправной строительной техники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 в чистоте стройплощадки, во избежание приманивания птиц;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принимать меры по предупреждению розливов ГСМ;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9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после завершения строительства проводится уборка площадки от строительного мусора.</w:t>
      </w:r>
    </w:p>
    <w:p>
      <w:pPr>
        <w:pStyle w:val="Style26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40"/>
      </w:pPr>
      <w:bookmarkStart w:id="27" w:name="bookmark27"/>
      <w:r>
        <w:rPr>
          <w:lang w:val="ru-RU" w:eastAsia="ru-RU" w:bidi="ru-RU"/>
          <w:w w:val="100"/>
          <w:spacing w:val="0"/>
          <w:color w:val="000000"/>
          <w:position w:val="0"/>
        </w:rPr>
        <w:t>Эксплуатация</w:t>
      </w:r>
      <w:bookmarkEnd w:id="27"/>
    </w:p>
    <w:p>
      <w:pPr>
        <w:pStyle w:val="Style3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предусматривается подготовка почвы для устройства партерного и обыкновенного газона с внесением растительной земли и посев газонов партерных, мавританских и обыкновенных. Озеленение и благоустройство территории объекта выполняется в достаточном объеме.</w:t>
      </w:r>
    </w:p>
    <w:p>
      <w:pPr>
        <w:pStyle w:val="Style3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jc w:val="both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соблюдении перечисленных мероприятий, реализация проекта не приведет к уничтожению или повреждению ценных объектов растительного и животного мира, ценных видов биотических природных ресурсов.</w:t>
      </w:r>
    </w:p>
    <w:p>
      <w:pPr>
        <w:pStyle w:val="Style26"/>
        <w:numPr>
          <w:ilvl w:val="1"/>
          <w:numId w:val="9"/>
        </w:numPr>
        <w:framePr w:w="9970" w:h="11630" w:hRule="exact" w:wrap="none" w:vAnchor="page" w:hAnchor="page" w:x="1389" w:y="3458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spacing w:before="0" w:after="467" w:line="280" w:lineRule="exact"/>
        <w:ind w:left="0" w:right="0" w:firstLine="740"/>
      </w:pPr>
      <w:bookmarkStart w:id="28" w:name="bookmark28"/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охране недр</w:t>
      </w:r>
      <w:bookmarkEnd w:id="28"/>
    </w:p>
    <w:p>
      <w:pPr>
        <w:pStyle w:val="Style3"/>
        <w:framePr w:w="9970" w:h="11630" w:hRule="exact" w:wrap="none" w:vAnchor="page" w:hAnchor="page" w:x="1389" w:y="345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охране недр при строительстве: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производство работ строго в пределах отведенного участка;</w:t>
      </w:r>
    </w:p>
    <w:p>
      <w:pPr>
        <w:pStyle w:val="Style3"/>
        <w:numPr>
          <w:ilvl w:val="0"/>
          <w:numId w:val="13"/>
        </w:numPr>
        <w:framePr w:w="9970" w:h="11630" w:hRule="exact" w:wrap="none" w:vAnchor="page" w:hAnchor="page" w:x="1389" w:y="3458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установка специальных поддонов и других сборных устройств в местах возможных утечек и проливов ГСМ;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3"/>
        </w:numPr>
        <w:framePr w:w="9974" w:h="13891" w:hRule="exact" w:wrap="none" w:vAnchor="page" w:hAnchor="page" w:x="1386" w:y="1034"/>
        <w:tabs>
          <w:tab w:leader="none" w:pos="936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упорядоченная транспортировка и складирование сыпучих и жидких материалов;</w:t>
      </w:r>
    </w:p>
    <w:p>
      <w:pPr>
        <w:pStyle w:val="Style3"/>
        <w:numPr>
          <w:ilvl w:val="0"/>
          <w:numId w:val="13"/>
        </w:numPr>
        <w:framePr w:w="9974" w:h="13891" w:hRule="exact" w:wrap="none" w:vAnchor="page" w:hAnchor="page" w:x="1386" w:y="1034"/>
        <w:tabs>
          <w:tab w:leader="none" w:pos="936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снижение или полное исключение отрицательного влияния при строитель</w:t>
        <w:t>стве объекта в части загрязнения (от его функционирования) гидросферы и литосферы.</w:t>
      </w:r>
    </w:p>
    <w:p>
      <w:pPr>
        <w:pStyle w:val="Style24"/>
        <w:numPr>
          <w:ilvl w:val="1"/>
          <w:numId w:val="9"/>
        </w:numPr>
        <w:framePr w:w="9974" w:h="13891" w:hRule="exact" w:wrap="none" w:vAnchor="page" w:hAnchor="page" w:x="1386" w:y="1034"/>
        <w:tabs>
          <w:tab w:leader="none" w:pos="1766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42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рациональному использованию общераспространенных полезных ископаемых, используемых при строительстве</w:t>
      </w:r>
    </w:p>
    <w:p>
      <w:pPr>
        <w:pStyle w:val="Style3"/>
        <w:framePr w:w="9974" w:h="13891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предусматривается повторное использование отходов ПГС. Отход будет накапливаться на открытой площадке с твердым покрытием и вывозиться заказчиком для дальнейшего использования.</w:t>
      </w:r>
    </w:p>
    <w:p>
      <w:pPr>
        <w:pStyle w:val="Style24"/>
        <w:numPr>
          <w:ilvl w:val="0"/>
          <w:numId w:val="9"/>
        </w:numPr>
        <w:framePr w:w="9974" w:h="13891" w:hRule="exact" w:wrap="none" w:vAnchor="page" w:hAnchor="page" w:x="1386" w:y="1034"/>
        <w:tabs>
          <w:tab w:leader="none" w:pos="1142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42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</w:p>
    <w:p>
      <w:pPr>
        <w:pStyle w:val="Style26"/>
        <w:numPr>
          <w:ilvl w:val="1"/>
          <w:numId w:val="9"/>
        </w:numPr>
        <w:framePr w:w="9974" w:h="13891" w:hRule="exact" w:wrap="none" w:vAnchor="page" w:hAnchor="page" w:x="1386" w:y="1034"/>
        <w:tabs>
          <w:tab w:leader="none" w:pos="137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244" w:line="485" w:lineRule="exact"/>
        <w:ind w:left="0" w:right="0" w:firstLine="740"/>
      </w:pPr>
      <w:bookmarkStart w:id="29" w:name="bookmark29"/>
      <w:r>
        <w:rPr>
          <w:lang w:val="ru-RU" w:eastAsia="ru-RU" w:bidi="ru-RU"/>
          <w:w w:val="100"/>
          <w:spacing w:val="0"/>
          <w:color w:val="000000"/>
          <w:position w:val="0"/>
        </w:rPr>
        <w:t>Защита территории от чрезвычайных ситуаций природного и техногенного характера и гражданской обороне</w:t>
      </w:r>
      <w:bookmarkEnd w:id="29"/>
    </w:p>
    <w:p>
      <w:pPr>
        <w:pStyle w:val="Style3"/>
        <w:framePr w:w="9974" w:h="13891" w:hRule="exact" w:wrap="none" w:vAnchor="page" w:hAnchor="page" w:x="1386" w:y="1034"/>
        <w:tabs>
          <w:tab w:leader="none" w:pos="297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п.14</w:t>
        <w:tab/>
        <w:t>ст.48 ГрК РФ проектная документация объектов</w:t>
      </w:r>
    </w:p>
    <w:p>
      <w:pPr>
        <w:pStyle w:val="Style3"/>
        <w:framePr w:w="9974" w:h="13891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 атомной энергии (в том числе ядерных установок, пунктов хранения ядерных материалов и радиоактивных веществ, пунктов хранения радиоактивных отходов), опасных производственных объектов, определяемых в соответствии с законодательством Российской Федерации, особо опасных, технически сложных, уникальных объектов, объектов обороны и безопасности должна содержать перечень мероприятий по гражданской обороне, мероприятий по предупреждению чрезвычайных ситуаций природного и техногенного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характера, мероприятий по противодействию терроризму.</w:t>
      </w:r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Данный объект не относится к указанным объектам, в связи с чем, разработка раздела по гражданской обороне, мероприятий по предупреждению чрезвычайных ситуаций природного и техногенного характера, мероприятий по противодействию терроризму не требуется.</w:t>
      </w:r>
    </w:p>
    <w:p>
      <w:pPr>
        <w:pStyle w:val="Style26"/>
        <w:numPr>
          <w:ilvl w:val="1"/>
          <w:numId w:val="9"/>
        </w:numPr>
        <w:framePr w:w="9979" w:h="13887" w:hRule="exact" w:wrap="none" w:vAnchor="page" w:hAnchor="page" w:x="1384" w:y="1038"/>
        <w:tabs>
          <w:tab w:leader="none" w:pos="1336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292" w:line="280" w:lineRule="exact"/>
        <w:ind w:left="0" w:right="0" w:firstLine="740"/>
      </w:pPr>
      <w:bookmarkStart w:id="30" w:name="bookmark30"/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обеспечению пожарной безопасности</w:t>
      </w:r>
      <w:bookmarkEnd w:id="30"/>
    </w:p>
    <w:p>
      <w:pPr>
        <w:pStyle w:val="Style26"/>
        <w:numPr>
          <w:ilvl w:val="2"/>
          <w:numId w:val="9"/>
        </w:numPr>
        <w:framePr w:w="9979" w:h="13887" w:hRule="exact" w:wrap="none" w:vAnchor="page" w:hAnchor="page" w:x="1384" w:y="1038"/>
        <w:tabs>
          <w:tab w:leader="none" w:pos="153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31" w:name="bookmark31"/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</w:t>
      </w:r>
      <w:bookmarkEnd w:id="31"/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Безопасность подразделений пожарной охраны в данном разделе, рассмотрена в рамках ликвидации пожара на территории, рассматриваемого в проекте линейного объекта.</w:t>
      </w:r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Безопасность подразделений пожарной охраны, при выполнении ими работ, как по тушению возможных пожаров, так и проведении аварийно-спасательных мероприятий, выполняется соблюдением на объекте требований изложенных в ст. 90 ФЗ №123 от 22.07.2008г, ст. 8, 17 ФЗ № 384 от 30.12.2009г и выполнением участниками тушения пожара требований изложенных в главе 27 ФЗ №123 от 22.07.2008г, раздел 7 СП 4.13130.2013.</w:t>
      </w:r>
    </w:p>
    <w:p>
      <w:pPr>
        <w:pStyle w:val="Style26"/>
        <w:numPr>
          <w:ilvl w:val="2"/>
          <w:numId w:val="9"/>
        </w:numPr>
        <w:framePr w:w="9979" w:h="13887" w:hRule="exact" w:wrap="none" w:vAnchor="page" w:hAnchor="page" w:x="1384" w:y="1038"/>
        <w:tabs>
          <w:tab w:leader="none" w:pos="154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32" w:name="bookmark32"/>
      <w:r>
        <w:rPr>
          <w:lang w:val="ru-RU" w:eastAsia="ru-RU" w:bidi="ru-RU"/>
          <w:w w:val="100"/>
          <w:spacing w:val="0"/>
          <w:color w:val="000000"/>
          <w:position w:val="0"/>
        </w:rPr>
        <w:t>Основные требования к участникам тушения пожара</w:t>
      </w:r>
      <w:bookmarkEnd w:id="32"/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участникам тушения пожара могут относиться как личный состав пожарных подразделений Федеральной пожарной охраны, так и рабочий персонал организаций. Участники тушения пожара в обязательном порядке должны иметь индивидуальные сертифицированные средства защиты (специальную защитную одежду, иметь средства индивидуальной защиты органов дыхания и зрения, а также средства самоспасания). На пожарном автомобиле должно вывозиться нормативное количество исправного пожарного инструмента, оборудования и дополнительного снаряжения.</w:t>
      </w:r>
    </w:p>
    <w:p>
      <w:pPr>
        <w:pStyle w:val="Style3"/>
        <w:framePr w:w="9979" w:h="13887" w:hRule="exact" w:wrap="none" w:vAnchor="page" w:hAnchor="page" w:x="1384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организации и проведении тушения пожара, все участники тушения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пожара должны соблюдать требования техники безопасности при:</w:t>
      </w:r>
    </w:p>
    <w:p>
      <w:pPr>
        <w:pStyle w:val="Style3"/>
        <w:numPr>
          <w:ilvl w:val="0"/>
          <w:numId w:val="13"/>
        </w:numPr>
        <w:framePr w:w="9979" w:h="14059" w:hRule="exact" w:wrap="none" w:vAnchor="page" w:hAnchor="page" w:x="1384" w:y="1034"/>
        <w:tabs>
          <w:tab w:leader="none" w:pos="96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проведении разведки пожара;</w:t>
      </w:r>
    </w:p>
    <w:p>
      <w:pPr>
        <w:pStyle w:val="Style3"/>
        <w:numPr>
          <w:ilvl w:val="0"/>
          <w:numId w:val="13"/>
        </w:numPr>
        <w:framePr w:w="9979" w:h="14059" w:hRule="exact" w:wrap="none" w:vAnchor="page" w:hAnchor="page" w:x="1384" w:y="1034"/>
        <w:tabs>
          <w:tab w:leader="none" w:pos="967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проведении работ по тушению пожара.</w:t>
      </w:r>
    </w:p>
    <w:p>
      <w:pPr>
        <w:pStyle w:val="Style26"/>
        <w:numPr>
          <w:ilvl w:val="2"/>
          <w:numId w:val="9"/>
        </w:numPr>
        <w:framePr w:w="9979" w:h="14059" w:hRule="exact" w:wrap="none" w:vAnchor="page" w:hAnchor="page" w:x="1384" w:y="1034"/>
        <w:tabs>
          <w:tab w:leader="none" w:pos="1806" w:val="left"/>
          <w:tab w:leader="none" w:pos="3390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 w:line="480" w:lineRule="exact"/>
        <w:ind w:left="0" w:right="0" w:firstLine="740"/>
      </w:pPr>
      <w:bookmarkStart w:id="33" w:name="bookmark33"/>
      <w:r>
        <w:rPr>
          <w:lang w:val="ru-RU" w:eastAsia="ru-RU" w:bidi="ru-RU"/>
          <w:w w:val="100"/>
          <w:spacing w:val="0"/>
          <w:color w:val="000000"/>
          <w:position w:val="0"/>
        </w:rPr>
        <w:t>Описание</w:t>
        <w:tab/>
        <w:t>организационно-технических мероприятий по</w:t>
      </w:r>
      <w:bookmarkEnd w:id="33"/>
    </w:p>
    <w:p>
      <w:pPr>
        <w:pStyle w:val="Style24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обеспечению пожарной безопасности линейного объекта, обоснование необходимости создания пожарной охраны объекта, расчет ее необходимых сил и средств</w:t>
      </w: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организационно-технических мероприятий для рассматриваемого в проекте линейного объекта, определяется требованиями ст.17 ФЗ №384 от 30.12.2009г, п.4 ГОСТ 12.1.004-91 и выполняется в соответствии с требованиями, «Правила противопожарного режима в Российской Федерации» с целью поддержания противопожарного режима в процессе их эксплуатации.</w:t>
      </w: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ликвидации возможных пожаров на существующих объектах защиты (здания и сооружения), предусмотрено использовать пожарное подразделение: Пожарная часть №124,</w:t>
      </w:r>
      <w:r>
        <w:fldChar w:fldCharType="begin"/>
      </w:r>
      <w:r>
        <w:rPr>
          <w:color w:val="000000"/>
        </w:rPr>
        <w:instrText> HYPERLINK "https://2gis.ru/novokubansk/geo/14918809420865065"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улица Победы, д. 59,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г. Новокубанск, Краснодарский край.</w:t>
      </w:r>
    </w:p>
    <w:p>
      <w:pPr>
        <w:pStyle w:val="Style3"/>
        <w:framePr w:w="9979" w:h="14059" w:hRule="exact" w:wrap="none" w:vAnchor="page" w:hAnchor="page" w:x="1384" w:y="1034"/>
        <w:tabs>
          <w:tab w:leader="none" w:pos="2604" w:val="left"/>
          <w:tab w:leader="none" w:pos="4574" w:val="left"/>
          <w:tab w:leader="none" w:pos="5983" w:val="left"/>
          <w:tab w:leader="none" w:pos="8309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применяемые в проекте строительные материалы, обеспечивающее требуемый уровень пожарной безопасности, приняты только заводского изготовления, в</w:t>
        <w:tab/>
        <w:t>конструкции</w:t>
        <w:tab/>
        <w:t>которых</w:t>
        <w:tab/>
        <w:t>предусмотрены</w:t>
        <w:tab/>
        <w:t>мероприятия</w:t>
      </w: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противопожарной защиты и они имеют соответствующие сертификаты соответствия.</w:t>
      </w:r>
    </w:p>
    <w:p>
      <w:pPr>
        <w:pStyle w:val="Style3"/>
        <w:framePr w:w="9979" w:h="14059" w:hRule="exact" w:wrap="none" w:vAnchor="page" w:hAnchor="page" w:x="1384" w:y="1034"/>
        <w:tabs>
          <w:tab w:leader="none" w:pos="2604" w:val="left"/>
          <w:tab w:leader="none" w:pos="5983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Весь обслуживающий персонал организации, силами которой предполагается проводить работы на рассматриваемом линейном объекте, предусматривается</w:t>
        <w:tab/>
        <w:t>допускать к работе</w:t>
        <w:tab/>
        <w:t>только после прохождения</w:t>
      </w: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противопожарного инструктажа, а при изменении специфики работы проходить дополнительное обучение по предупреждению и тушению возможных пожаров в порядке, установленном руководителем.</w:t>
      </w:r>
    </w:p>
    <w:p>
      <w:pPr>
        <w:pStyle w:val="Style3"/>
        <w:framePr w:w="9979" w:h="14059" w:hRule="exact" w:wrap="none" w:vAnchor="page" w:hAnchor="page" w:x="1384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Обучение мерам пожарной безопасности обслуживающего персонала данной организацией предусмотрено проводить в соответствии с нормами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4" w:h="14059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пожарной безопасности «Обучение мерам пожарной безопасности работников организаций», утверждёнными приказом МЧС от 18 ноября 2021 г. № 806 "Об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безопасности".</w:t>
      </w:r>
    </w:p>
    <w:p>
      <w:pPr>
        <w:pStyle w:val="Style3"/>
        <w:framePr w:w="9974" w:h="14059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Приказом руководителя организации, обслуживающей рассматриваемый линейный объект, должно быть назначено должностное лицо ответственное за проведение данных инструктажей, определены сроки их проведения и организовано ведение журнала учёта данных инструктажей. Также в данном приказе должны быть утверждены категории лиц и разработан график (сроки) прохождения обучения по пожарно-техническому минимуму. Приказом руководителя организации предусмотрено назначить должностных лиц ответственных за их пожарную безопасность, а также определить порядок обеспечения пожарной безопасности. Ответственные лица за пожарную безопасность, организовывают разработку требуемых инструкций о мерах пожарной безопасности. Наглядную агитацию принято применять в виде определенных сигнальных цветов и знаков пожарной безопасности, предназначенных для регулирования поведения работников объекта в целях предотвращения возникновения пожара и (или) выполнения ими определенных действий при пожаре, для обеспечения собственной безопасности и снижения размера потерь от пожара.</w:t>
      </w:r>
    </w:p>
    <w:p>
      <w:pPr>
        <w:pStyle w:val="Style3"/>
        <w:framePr w:w="9974" w:h="14059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хранения веществ и материалов, тушение которых недопустимо одними и теми же средствами, в зависимости от физико-химических и пожароопасных свойств. Нахождение горючих веществ и материалов в обращении маловероятно. Тушение горючих веществ и материалов предусмотрено:</w:t>
      </w:r>
    </w:p>
    <w:p>
      <w:pPr>
        <w:pStyle w:val="Style3"/>
        <w:framePr w:w="9974" w:h="14059" w:hRule="exact" w:wrap="none" w:vAnchor="page" w:hAnchor="page" w:x="1386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водой (от мобильной пожарной техники подразделений Федеральной пожарной охраны);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102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газом и порошком (обслуживающим персоналом организации, с использованием ручных или передвижных порошковых и газовых огнетушителей).</w:t>
      </w:r>
    </w:p>
    <w:p>
      <w:pPr>
        <w:pStyle w:val="Style3"/>
        <w:framePr w:w="9970" w:h="14059" w:hRule="exact" w:wrap="none" w:vAnchor="page" w:hAnchor="page" w:x="1389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Действия обслуживающего персонала организации, силами которой предусмотрено обслуживать данный линейный объект, при возникновении пожара, предусмотрено отразить в «Инструкции о мерах пожарной безопасности». Каждый работник организации, обнаруживший пожар обязан немедленно сообщить об этом в пожарную охрану, старшему должностному лицу организации и приступить к тушению пожара имеющимися первичными средствами пожаротушения.</w:t>
      </w:r>
    </w:p>
    <w:p>
      <w:pPr>
        <w:pStyle w:val="Style3"/>
        <w:framePr w:w="9970" w:h="14059" w:hRule="exact" w:wrap="none" w:vAnchor="page" w:hAnchor="page" w:x="1389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прибытия пожарных подразделений старшее должностное лицо организации обязано: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102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сообщить о пожаре в пожарную охрану (продублировать ранее отправленное сообщение подчинённым работником);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95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поставить в известность о пожаре руководство своей организации;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933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угрозы жизни людей, немедленно организовать их спасание, используя для этого имеющиеся силы и средства;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102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осуществить общее руководство по тушению пожара (с учетом специфических особенностей объекта), до прибытия подразделения пожарной охраны;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933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удалить за пределы опасной зоны всех работников, не участвующих в тушении пожара;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102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обеспечить соблюдение требований безопасности работниками, принимающими участие в тушении пожара;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1021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одновременно с тушением пожара организовать эвакуацию и защиту материальных ценностей;</w:t>
      </w:r>
    </w:p>
    <w:p>
      <w:pPr>
        <w:pStyle w:val="Style3"/>
        <w:numPr>
          <w:ilvl w:val="0"/>
          <w:numId w:val="13"/>
        </w:numPr>
        <w:framePr w:w="9970" w:h="14059" w:hRule="exact" w:wrap="none" w:vAnchor="page" w:hAnchor="page" w:x="1389" w:y="1034"/>
        <w:tabs>
          <w:tab w:leader="none" w:pos="928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выделить работника из числа обслуживающего персонала для встречи пожарных машин и направления их к месту пожара.</w:t>
      </w:r>
    </w:p>
    <w:p>
      <w:pPr>
        <w:pStyle w:val="Style3"/>
        <w:framePr w:w="9970" w:h="14059" w:hRule="exact" w:wrap="none" w:vAnchor="page" w:hAnchor="page" w:x="1389" w:y="1034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прибытии подразделений пожарной охраны, представитель организации,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70" w:h="2952" w:hRule="exact" w:wrap="none" w:vAnchor="page" w:hAnchor="page" w:x="1389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руководивший тушением пожара, обязан сообщить старшему должностному лицу прибывшего подразделения, все необходимые сведения об очаге пожара, мерах, предпринятых по его ликвидации.</w:t>
      </w:r>
    </w:p>
    <w:p>
      <w:pPr>
        <w:pStyle w:val="Style3"/>
        <w:framePr w:w="9970" w:h="2952" w:hRule="exact" w:wrap="none" w:vAnchor="page" w:hAnchor="page" w:x="1389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Непосредственно для рассматриваемого линейного объекта не предусматривается размещать и использовать пожарную технику (нормы не требуют).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5"/>
      <w:numFmt w:val="decimal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10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10.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3"/>
      <w:numFmt w:val="decimal"/>
      <w:lvlText w:val="1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10">
    <w:name w:val="Заголовок №2_"/>
    <w:basedOn w:val="DefaultParagraphFont"/>
    <w:link w:val="Style9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4">
    <w:name w:val="Основной текст (5)_"/>
    <w:basedOn w:val="DefaultParagraphFont"/>
    <w:link w:val="Style1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7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4 pt,Курсив"/>
    <w:basedOn w:val="CharStyle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20">
    <w:name w:val="Основной текст (2) + 9 pt,Курсив,Интервал 1 pt"/>
    <w:basedOn w:val="CharStyle4"/>
    <w:rPr>
      <w:lang w:val="ru-RU" w:eastAsia="ru-RU" w:bidi="ru-RU"/>
      <w:i/>
      <w:iCs/>
      <w:sz w:val="18"/>
      <w:szCs w:val="18"/>
      <w:w w:val="100"/>
      <w:spacing w:val="30"/>
      <w:color w:val="000000"/>
      <w:position w:val="0"/>
    </w:rPr>
  </w:style>
  <w:style w:type="character" w:customStyle="1" w:styleId="CharStyle21">
    <w:name w:val="Основной текст (2) + Arial,8,5 pt,Курсив"/>
    <w:basedOn w:val="CharStyle4"/>
    <w:rPr>
      <w:lang w:val="ru-RU" w:eastAsia="ru-RU" w:bidi="ru-RU"/>
      <w:i/>
      <w:i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2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3">
    <w:name w:val="Основной текст (2) + Полужирный,Курсив"/>
    <w:basedOn w:val="CharStyle4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5">
    <w:name w:val="Основной текст (6)_"/>
    <w:basedOn w:val="DefaultParagraphFont"/>
    <w:link w:val="Style2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7">
    <w:name w:val="Заголовок №3_"/>
    <w:basedOn w:val="DefaultParagraphFont"/>
    <w:link w:val="Style2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9">
    <w:name w:val="Основной текст (6) + Не полужирный"/>
    <w:basedOn w:val="CharStyle2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1">
    <w:name w:val="Подпись к таблиц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2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4">
    <w:name w:val="Основной текст (7)_"/>
    <w:basedOn w:val="DefaultParagraphFont"/>
    <w:link w:val="Style33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right"/>
      <w:spacing w:after="1620" w:line="0" w:lineRule="exact"/>
      <w:ind w:hanging="3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1620" w:after="420" w:line="365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420" w:line="902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center"/>
      <w:outlineLvl w:val="1"/>
      <w:spacing w:line="902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center"/>
      <w:spacing w:after="360" w:line="365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jc w:val="both"/>
      <w:spacing w:after="420"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Заголовок №3"/>
    <w:basedOn w:val="Normal"/>
    <w:link w:val="CharStyle27"/>
    <w:pPr>
      <w:widowControl w:val="0"/>
      <w:shd w:val="clear" w:color="auto" w:fill="FFFFFF"/>
      <w:jc w:val="both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Подпись к таблице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jc w:val="right"/>
      <w:spacing w:before="180"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Шаблон для создания отчетов по ГОСТу</dc:title>
  <dc:subject/>
  <dc:creator>16-405-274-ГП</dc:creator>
  <cp:keywords/>
</cp:coreProperties>
</file>