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5C" w:rsidRPr="00C65D2C" w:rsidRDefault="009F39A2" w:rsidP="00AD49D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3108"/>
        <w:gridCol w:w="1094"/>
        <w:gridCol w:w="2009"/>
        <w:gridCol w:w="3395"/>
      </w:tblGrid>
      <w:tr w:rsidR="00D8594D" w:rsidRPr="00CB1FAD">
        <w:trPr>
          <w:trHeight w:val="1198"/>
        </w:trPr>
        <w:tc>
          <w:tcPr>
            <w:tcW w:w="3108" w:type="dxa"/>
            <w:vAlign w:val="bottom"/>
          </w:tcPr>
          <w:p w:rsidR="00D8594D" w:rsidRDefault="00D8594D" w:rsidP="00604936">
            <w:pPr>
              <w:jc w:val="center"/>
            </w:pPr>
          </w:p>
        </w:tc>
        <w:tc>
          <w:tcPr>
            <w:tcW w:w="3103" w:type="dxa"/>
            <w:gridSpan w:val="2"/>
            <w:vAlign w:val="bottom"/>
          </w:tcPr>
          <w:p w:rsidR="00D8594D" w:rsidRPr="00CB7531" w:rsidRDefault="00F7288D" w:rsidP="00604936">
            <w:pPr>
              <w:jc w:val="center"/>
            </w:pPr>
            <w:r>
              <w:rPr>
                <w:bCs/>
                <w:noProof/>
                <w:color w:val="000000"/>
                <w:w w:val="102"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5" w:type="dxa"/>
          </w:tcPr>
          <w:p w:rsidR="00D8594D" w:rsidRPr="00CB1FAD" w:rsidRDefault="00D8594D" w:rsidP="0060493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594D" w:rsidRPr="00B46B1D">
        <w:trPr>
          <w:trHeight w:val="223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3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D8594D" w:rsidRPr="00B46B1D">
        <w:trPr>
          <w:trHeight w:val="185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D8594D" w:rsidRPr="00B46B1D">
        <w:trPr>
          <w:trHeight w:val="133"/>
        </w:trPr>
        <w:tc>
          <w:tcPr>
            <w:tcW w:w="9606" w:type="dxa"/>
            <w:gridSpan w:val="4"/>
            <w:vAlign w:val="bottom"/>
          </w:tcPr>
          <w:p w:rsidR="00D8594D" w:rsidRPr="00B46B1D" w:rsidRDefault="00D8594D" w:rsidP="00604936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>
        <w:trPr>
          <w:trHeight w:val="468"/>
        </w:trPr>
        <w:tc>
          <w:tcPr>
            <w:tcW w:w="4202" w:type="dxa"/>
            <w:gridSpan w:val="2"/>
            <w:vAlign w:val="bottom"/>
          </w:tcPr>
          <w:p w:rsidR="00D8594D" w:rsidRPr="00B46B1D" w:rsidRDefault="00543608" w:rsidP="00AD49D5">
            <w:pPr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19 октября 2018 г.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346B63">
            <w:pPr>
              <w:ind w:left="36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5498B">
              <w:rPr>
                <w:sz w:val="28"/>
                <w:szCs w:val="28"/>
              </w:rPr>
              <w:t xml:space="preserve">   </w:t>
            </w:r>
            <w:r w:rsidR="00F7288D">
              <w:rPr>
                <w:sz w:val="28"/>
                <w:szCs w:val="28"/>
              </w:rPr>
              <w:t xml:space="preserve"> </w:t>
            </w:r>
            <w:r w:rsidRPr="00B46B1D">
              <w:rPr>
                <w:sz w:val="28"/>
                <w:szCs w:val="28"/>
              </w:rPr>
              <w:t xml:space="preserve"> </w:t>
            </w:r>
            <w:r w:rsidR="00543608">
              <w:rPr>
                <w:sz w:val="28"/>
                <w:szCs w:val="28"/>
              </w:rPr>
              <w:t>№ 541</w:t>
            </w:r>
          </w:p>
        </w:tc>
      </w:tr>
      <w:tr w:rsidR="00D8594D" w:rsidRPr="007A535D">
        <w:trPr>
          <w:trHeight w:val="345"/>
        </w:trPr>
        <w:tc>
          <w:tcPr>
            <w:tcW w:w="9606" w:type="dxa"/>
            <w:gridSpan w:val="4"/>
            <w:vAlign w:val="bottom"/>
          </w:tcPr>
          <w:p w:rsidR="00D77BD4" w:rsidRDefault="00D77BD4" w:rsidP="00604936">
            <w:pPr>
              <w:jc w:val="center"/>
              <w:rPr>
                <w:sz w:val="24"/>
                <w:szCs w:val="24"/>
              </w:rPr>
            </w:pPr>
          </w:p>
          <w:p w:rsidR="00D8594D" w:rsidRDefault="00D8594D" w:rsidP="00604936">
            <w:pPr>
              <w:jc w:val="center"/>
              <w:rPr>
                <w:sz w:val="24"/>
                <w:szCs w:val="24"/>
              </w:rPr>
            </w:pPr>
            <w:r w:rsidRPr="007A535D">
              <w:rPr>
                <w:sz w:val="24"/>
                <w:szCs w:val="24"/>
              </w:rPr>
              <w:t>Новокубанск</w:t>
            </w:r>
          </w:p>
          <w:p w:rsidR="004841AE" w:rsidRPr="007A535D" w:rsidRDefault="004841AE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862" w:rsidRPr="003A479C" w:rsidRDefault="00140862" w:rsidP="00140862">
      <w:pPr>
        <w:pStyle w:val="1"/>
        <w:jc w:val="center"/>
        <w:rPr>
          <w:b/>
          <w:bCs/>
          <w:szCs w:val="28"/>
        </w:rPr>
      </w:pPr>
      <w:bookmarkStart w:id="0" w:name="_Toc105952706"/>
      <w:r w:rsidRPr="003A479C">
        <w:rPr>
          <w:b/>
          <w:bCs/>
          <w:szCs w:val="28"/>
        </w:rPr>
        <w:t>О внесении изменений в решение</w:t>
      </w:r>
    </w:p>
    <w:p w:rsidR="00140862" w:rsidRPr="003A479C" w:rsidRDefault="00140862" w:rsidP="00140862">
      <w:pPr>
        <w:pStyle w:val="1"/>
        <w:jc w:val="center"/>
        <w:rPr>
          <w:rFonts w:ascii="Arial" w:eastAsia="SimSun" w:hAnsi="Arial" w:cs="Arial"/>
          <w:b/>
          <w:color w:val="000000" w:themeColor="text1"/>
          <w:szCs w:val="28"/>
          <w:lang w:eastAsia="ar-SA"/>
        </w:rPr>
      </w:pPr>
      <w:r w:rsidRPr="003A479C">
        <w:rPr>
          <w:b/>
          <w:bCs/>
          <w:szCs w:val="28"/>
        </w:rPr>
        <w:t xml:space="preserve">Совета Новокубанского городского поселения Новокубанского района </w:t>
      </w:r>
      <w:r>
        <w:rPr>
          <w:b/>
          <w:bCs/>
          <w:szCs w:val="28"/>
        </w:rPr>
        <w:t xml:space="preserve">    </w:t>
      </w:r>
      <w:r w:rsidRPr="003A479C">
        <w:rPr>
          <w:b/>
          <w:bCs/>
          <w:szCs w:val="28"/>
        </w:rPr>
        <w:t>от 23 сентября 2016 года № 271 «О налоге на имущество физических лиц»</w:t>
      </w:r>
      <w:bookmarkEnd w:id="0"/>
    </w:p>
    <w:p w:rsidR="00140862" w:rsidRDefault="00140862" w:rsidP="00140862">
      <w:pPr>
        <w:suppressAutoHyphens/>
        <w:ind w:firstLine="567"/>
        <w:jc w:val="center"/>
        <w:rPr>
          <w:rFonts w:eastAsia="SimSun"/>
          <w:b/>
          <w:color w:val="000000" w:themeColor="text1"/>
          <w:lang w:eastAsia="ar-SA"/>
        </w:rPr>
      </w:pPr>
    </w:p>
    <w:p w:rsidR="00140862" w:rsidRPr="003A479C" w:rsidRDefault="00140862" w:rsidP="00140862">
      <w:pPr>
        <w:suppressAutoHyphens/>
        <w:ind w:firstLine="567"/>
        <w:jc w:val="center"/>
        <w:rPr>
          <w:rFonts w:eastAsia="SimSun"/>
          <w:b/>
          <w:color w:val="000000" w:themeColor="text1"/>
          <w:lang w:eastAsia="ar-SA"/>
        </w:rPr>
      </w:pPr>
    </w:p>
    <w:p w:rsidR="00140862" w:rsidRPr="003A479C" w:rsidRDefault="00140862" w:rsidP="00140862">
      <w:pPr>
        <w:keepNext/>
        <w:ind w:firstLine="567"/>
        <w:jc w:val="both"/>
        <w:outlineLvl w:val="0"/>
        <w:rPr>
          <w:sz w:val="28"/>
          <w:szCs w:val="28"/>
        </w:rPr>
      </w:pPr>
      <w:r w:rsidRPr="003A479C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</w:t>
      </w:r>
      <w:r>
        <w:rPr>
          <w:sz w:val="28"/>
          <w:szCs w:val="28"/>
        </w:rPr>
        <w:t xml:space="preserve"> </w:t>
      </w:r>
      <w:r w:rsidRPr="000E7458">
        <w:rPr>
          <w:sz w:val="28"/>
          <w:szCs w:val="28"/>
        </w:rPr>
        <w:t>Уставом Новокубанского городского поселения Новокубанского района,</w:t>
      </w:r>
      <w:r w:rsidRPr="003A479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Новокубанского городского поселения Новокубанского района, р е ш и л</w:t>
      </w:r>
      <w:r w:rsidRPr="003A479C">
        <w:rPr>
          <w:sz w:val="28"/>
          <w:szCs w:val="28"/>
        </w:rPr>
        <w:t>:</w:t>
      </w:r>
    </w:p>
    <w:p w:rsidR="00140862" w:rsidRPr="003A479C" w:rsidRDefault="00140862" w:rsidP="00140862">
      <w:pPr>
        <w:suppressAutoHyphens/>
        <w:ind w:firstLine="567"/>
        <w:jc w:val="both"/>
        <w:rPr>
          <w:sz w:val="28"/>
          <w:szCs w:val="28"/>
        </w:rPr>
      </w:pPr>
      <w:r w:rsidRPr="003A479C">
        <w:rPr>
          <w:sz w:val="28"/>
          <w:szCs w:val="28"/>
        </w:rPr>
        <w:t xml:space="preserve">1. Внести в решение Совета Новокубанского городского поселения Новокубанского района от 23 сентября 2016 года № 271 «О налоге на имущество физических лиц» </w:t>
      </w:r>
      <w:r w:rsidR="00F143A9">
        <w:rPr>
          <w:sz w:val="28"/>
          <w:szCs w:val="28"/>
        </w:rPr>
        <w:t xml:space="preserve">(в ред. решения Совета от 26.12.2017 г. № 421) </w:t>
      </w:r>
      <w:r w:rsidRPr="003A479C">
        <w:rPr>
          <w:sz w:val="28"/>
          <w:szCs w:val="28"/>
        </w:rPr>
        <w:t>следующие изменения:</w:t>
      </w:r>
    </w:p>
    <w:p w:rsidR="00140862" w:rsidRPr="003A479C" w:rsidRDefault="00140862" w:rsidP="00140862">
      <w:pPr>
        <w:suppressAutoHyphens/>
        <w:ind w:firstLine="567"/>
        <w:jc w:val="both"/>
        <w:rPr>
          <w:sz w:val="28"/>
          <w:szCs w:val="28"/>
        </w:rPr>
      </w:pPr>
      <w:r w:rsidRPr="003A479C">
        <w:rPr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3A479C">
        <w:rPr>
          <w:sz w:val="28"/>
          <w:szCs w:val="28"/>
        </w:rPr>
        <w:t>ункт 3</w:t>
      </w:r>
      <w:r>
        <w:rPr>
          <w:sz w:val="28"/>
          <w:szCs w:val="28"/>
        </w:rPr>
        <w:t>.1</w:t>
      </w:r>
      <w:r w:rsidRPr="003A4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3A479C">
        <w:rPr>
          <w:sz w:val="28"/>
          <w:szCs w:val="28"/>
        </w:rPr>
        <w:t>изложить в следующей редакции: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«3</w:t>
      </w:r>
      <w:r>
        <w:rPr>
          <w:rFonts w:eastAsia="SimSun"/>
          <w:sz w:val="28"/>
          <w:szCs w:val="28"/>
          <w:lang w:eastAsia="ar-SA"/>
        </w:rPr>
        <w:t>.1</w:t>
      </w:r>
      <w:r w:rsidRPr="003A479C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140862" w:rsidRPr="003A479C" w:rsidRDefault="00140862" w:rsidP="0014086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4841A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Жилые дома, части жилых домов</w:t>
            </w:r>
            <w:r>
              <w:rPr>
                <w:sz w:val="28"/>
                <w:szCs w:val="28"/>
              </w:rPr>
              <w:t>;</w:t>
            </w:r>
          </w:p>
        </w:tc>
      </w:tr>
      <w:tr w:rsidR="004841AE" w:rsidRPr="003A479C" w:rsidTr="00B92AB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AE" w:rsidRPr="003A479C" w:rsidRDefault="004841AE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AE" w:rsidRDefault="004841AE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AE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</w:t>
            </w:r>
            <w:r w:rsidRPr="003A479C">
              <w:rPr>
                <w:sz w:val="28"/>
                <w:szCs w:val="28"/>
              </w:rPr>
              <w:t>илые помещения (квартиры, комнаты), части квартир;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479C">
              <w:rPr>
                <w:sz w:val="28"/>
                <w:szCs w:val="28"/>
              </w:rPr>
              <w:t>. Единые недвижимые комплексы, в состав которых входит хотя бы одно жилое помещение (жилой дом);</w:t>
            </w:r>
          </w:p>
          <w:p w:rsidR="004841AE" w:rsidRPr="003A479C" w:rsidRDefault="004841AE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4841AE">
        <w:trPr>
          <w:trHeight w:val="2897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0,1 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79C">
              <w:rPr>
                <w:sz w:val="28"/>
                <w:szCs w:val="28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479C">
              <w:rPr>
                <w:sz w:val="28"/>
                <w:szCs w:val="28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140862" w:rsidRPr="003A479C" w:rsidTr="00B92AB4">
        <w:trPr>
          <w:trHeight w:val="12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B92AB4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140862" w:rsidRPr="003A479C" w:rsidRDefault="00140862" w:rsidP="004841AE">
      <w:pPr>
        <w:tabs>
          <w:tab w:val="left" w:pos="1320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0862" w:rsidRPr="003A479C" w:rsidRDefault="00140862" w:rsidP="00F143A9">
      <w:pPr>
        <w:suppressAutoHyphens/>
        <w:ind w:firstLine="567"/>
        <w:jc w:val="both"/>
        <w:rPr>
          <w:rFonts w:eastAsia="SimSun"/>
          <w:sz w:val="28"/>
          <w:szCs w:val="28"/>
        </w:rPr>
      </w:pPr>
      <w:r w:rsidRPr="003A479C">
        <w:rPr>
          <w:rFonts w:eastAsia="SimSun"/>
          <w:sz w:val="28"/>
          <w:szCs w:val="28"/>
        </w:rPr>
        <w:t xml:space="preserve">1.2. </w:t>
      </w:r>
      <w:r w:rsidR="00F143A9">
        <w:rPr>
          <w:rFonts w:eastAsia="SimSun"/>
          <w:sz w:val="28"/>
          <w:szCs w:val="28"/>
        </w:rPr>
        <w:t>Дополнить Решение пунктом 3.1.1. следующего содержания</w:t>
      </w:r>
      <w:r w:rsidRPr="003A479C">
        <w:rPr>
          <w:rFonts w:eastAsia="SimSun"/>
          <w:sz w:val="28"/>
          <w:szCs w:val="28"/>
        </w:rPr>
        <w:t>:</w:t>
      </w:r>
    </w:p>
    <w:p w:rsidR="00140862" w:rsidRDefault="00140862" w:rsidP="00F143A9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«3</w:t>
      </w:r>
      <w:r>
        <w:rPr>
          <w:rFonts w:eastAsia="SimSun"/>
          <w:sz w:val="28"/>
          <w:szCs w:val="28"/>
          <w:lang w:eastAsia="ar-SA"/>
        </w:rPr>
        <w:t>.1</w:t>
      </w:r>
      <w:r w:rsidRPr="003A479C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F143A9" w:rsidRPr="003A479C" w:rsidRDefault="00F143A9" w:rsidP="00F143A9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4841AE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 xml:space="preserve">1. Жилые дома, части жилых домов, </w:t>
            </w:r>
          </w:p>
        </w:tc>
      </w:tr>
      <w:tr w:rsidR="004841AE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1AE" w:rsidRPr="003A479C" w:rsidRDefault="004841AE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841AE" w:rsidRDefault="004841AE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1AE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</w:t>
            </w:r>
            <w:r w:rsidRPr="003A479C">
              <w:rPr>
                <w:sz w:val="28"/>
                <w:szCs w:val="28"/>
              </w:rPr>
              <w:t>вартиры, части квартир, комнаты;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479C">
              <w:rPr>
                <w:sz w:val="28"/>
                <w:szCs w:val="28"/>
              </w:rPr>
              <w:t>. Единые недвижимые комплексы, в состав которых входит хотя бы один жилой дом;</w:t>
            </w:r>
          </w:p>
          <w:p w:rsidR="004841AE" w:rsidRPr="003A479C" w:rsidRDefault="004841AE" w:rsidP="004841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A479C">
              <w:rPr>
                <w:sz w:val="28"/>
                <w:szCs w:val="28"/>
              </w:rPr>
              <w:t>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4841AE" w:rsidRPr="003A479C" w:rsidRDefault="004841AE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A479C">
              <w:rPr>
                <w:sz w:val="28"/>
                <w:szCs w:val="28"/>
              </w:rPr>
              <w:t>.Гаражи и машино-места, в том числе 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D9059A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3pt;margin-top:31.8pt;width:137.25pt;height:.05pt;z-index:251658240;mso-position-horizontal-relative:text;mso-position-vertical-relative:text" o:connectortype="straight"/>
              </w:pict>
            </w:r>
            <w:r w:rsidR="00140862"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 xml:space="preserve">1. Объекты незавершенного строительства в случае, если проектируемым назначением таких объектов </w:t>
            </w:r>
            <w:r w:rsidRPr="003A479C">
              <w:rPr>
                <w:sz w:val="28"/>
                <w:szCs w:val="28"/>
              </w:rPr>
              <w:lastRenderedPageBreak/>
              <w:t>является жилой дом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lastRenderedPageBreak/>
              <w:tab/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</w:tc>
      </w:tr>
      <w:tr w:rsidR="00140862" w:rsidRPr="003A479C" w:rsidTr="00B92AB4">
        <w:trPr>
          <w:trHeight w:val="12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jc w:val="both"/>
              <w:rPr>
                <w:sz w:val="28"/>
                <w:szCs w:val="28"/>
              </w:rPr>
            </w:pPr>
          </w:p>
        </w:tc>
      </w:tr>
      <w:tr w:rsidR="00140862" w:rsidRPr="003A479C" w:rsidTr="00B92AB4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140862" w:rsidRPr="003A479C" w:rsidRDefault="00140862" w:rsidP="004841AE">
      <w:pPr>
        <w:tabs>
          <w:tab w:val="left" w:pos="1320"/>
        </w:tabs>
        <w:suppressAutoHyphens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</w:rPr>
      </w:pPr>
      <w:r w:rsidRPr="003A479C">
        <w:rPr>
          <w:rFonts w:eastAsia="SimSun"/>
          <w:sz w:val="28"/>
          <w:szCs w:val="28"/>
        </w:rPr>
        <w:t xml:space="preserve">1.3. </w:t>
      </w:r>
      <w:r w:rsidR="00F143A9">
        <w:rPr>
          <w:rFonts w:eastAsia="SimSun"/>
          <w:sz w:val="28"/>
          <w:szCs w:val="28"/>
        </w:rPr>
        <w:t>Дополнить Решение пунктом 3.1.2. следующего содержания</w:t>
      </w:r>
      <w:r w:rsidRPr="003A479C">
        <w:rPr>
          <w:rFonts w:eastAsia="SimSun"/>
          <w:sz w:val="28"/>
          <w:szCs w:val="28"/>
        </w:rPr>
        <w:t>:</w:t>
      </w:r>
    </w:p>
    <w:p w:rsidR="00140862" w:rsidRPr="003A479C" w:rsidRDefault="00F143A9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 xml:space="preserve"> </w:t>
      </w:r>
      <w:r w:rsidR="00140862" w:rsidRPr="003A479C">
        <w:rPr>
          <w:rFonts w:eastAsia="SimSun"/>
          <w:sz w:val="28"/>
          <w:szCs w:val="28"/>
          <w:lang w:eastAsia="ar-SA"/>
        </w:rPr>
        <w:t>«3.</w:t>
      </w:r>
      <w:r w:rsidR="00140862">
        <w:rPr>
          <w:rFonts w:eastAsia="SimSun"/>
          <w:sz w:val="28"/>
          <w:szCs w:val="28"/>
          <w:lang w:eastAsia="ar-SA"/>
        </w:rPr>
        <w:t xml:space="preserve">1. </w:t>
      </w:r>
      <w:r w:rsidR="00140862" w:rsidRPr="003A479C">
        <w:rPr>
          <w:rFonts w:eastAsia="SimSun"/>
          <w:sz w:val="28"/>
          <w:szCs w:val="28"/>
          <w:lang w:eastAsia="ar-SA"/>
        </w:rPr>
        <w:t>Установить налоговые ставки налога на имущество физических лиц  исходя из кадастровой стоимости объектов налогообложения в следующих размерах:</w:t>
      </w:r>
    </w:p>
    <w:p w:rsidR="00140862" w:rsidRPr="003A479C" w:rsidRDefault="00140862" w:rsidP="00140862">
      <w:pPr>
        <w:suppressAutoHyphens/>
        <w:ind w:firstLine="709"/>
        <w:jc w:val="both"/>
        <w:rPr>
          <w:rFonts w:eastAsia="SimSun"/>
          <w:sz w:val="28"/>
          <w:szCs w:val="28"/>
          <w:lang w:eastAsia="ar-SA"/>
        </w:rPr>
      </w:pP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6666"/>
      </w:tblGrid>
      <w:tr w:rsidR="00140862" w:rsidRPr="003A479C" w:rsidTr="00B92AB4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Налоговая ставка</w:t>
            </w:r>
            <w:r>
              <w:rPr>
                <w:sz w:val="28"/>
                <w:szCs w:val="28"/>
              </w:rPr>
              <w:t>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Объекты налогообложения</w:t>
            </w:r>
          </w:p>
        </w:tc>
      </w:tr>
      <w:tr w:rsidR="00140862" w:rsidRPr="003A479C" w:rsidTr="00B92AB4">
        <w:trPr>
          <w:trHeight w:val="3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1</w:t>
            </w:r>
          </w:p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862" w:rsidRPr="003A479C" w:rsidRDefault="00140862" w:rsidP="00B92AB4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62" w:rsidRPr="003A479C" w:rsidRDefault="00140862" w:rsidP="00B92AB4">
            <w:pPr>
              <w:tabs>
                <w:tab w:val="left" w:pos="20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Жилые дома, части жилых домов</w:t>
            </w:r>
          </w:p>
        </w:tc>
      </w:tr>
      <w:tr w:rsidR="00140862" w:rsidRPr="003A479C" w:rsidTr="00B92AB4">
        <w:trPr>
          <w:trHeight w:val="3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140862" w:rsidRPr="003A479C" w:rsidRDefault="00140862" w:rsidP="00B92AB4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40862" w:rsidRPr="003A479C" w:rsidRDefault="00140862" w:rsidP="00B92AB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1.Квартиры, части квартир,</w:t>
            </w:r>
            <w:r>
              <w:rPr>
                <w:sz w:val="28"/>
                <w:szCs w:val="28"/>
              </w:rPr>
              <w:t xml:space="preserve"> </w:t>
            </w:r>
            <w:r w:rsidRPr="003A479C">
              <w:rPr>
                <w:sz w:val="28"/>
                <w:szCs w:val="28"/>
              </w:rPr>
              <w:t>комнаты;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4.Гаражи и машино-места, в том числе</w:t>
            </w:r>
            <w:r>
              <w:rPr>
                <w:sz w:val="28"/>
                <w:szCs w:val="28"/>
              </w:rPr>
              <w:t xml:space="preserve"> </w:t>
            </w:r>
            <w:r w:rsidRPr="003A479C">
              <w:rPr>
                <w:sz w:val="28"/>
                <w:szCs w:val="28"/>
              </w:rPr>
              <w:t>расположенные в объектах налогообложения, указанных в строке 3 таблицы</w:t>
            </w:r>
          </w:p>
        </w:tc>
      </w:tr>
      <w:tr w:rsidR="00140862" w:rsidRPr="003A479C" w:rsidTr="00B92AB4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0862" w:rsidRPr="003A479C" w:rsidRDefault="00140862" w:rsidP="00B92AB4">
            <w:pPr>
              <w:tabs>
                <w:tab w:val="left" w:pos="45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140862" w:rsidRPr="003A479C" w:rsidTr="00B92AB4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Pr="0012599F" w:rsidRDefault="0012599F" w:rsidP="0012599F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0,8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140862" w:rsidRPr="003A479C" w:rsidRDefault="00140862" w:rsidP="00B92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2. Объекты налогообложения, предусмотренные абзацем вторым пункта 10 статьи 378.2 НК РФ;</w:t>
            </w:r>
          </w:p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140862" w:rsidRPr="003A479C" w:rsidTr="00B92AB4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tabs>
                <w:tab w:val="left" w:pos="16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862" w:rsidRDefault="00140862" w:rsidP="00B92AB4">
            <w:pPr>
              <w:tabs>
                <w:tab w:val="left" w:pos="192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862" w:rsidRPr="003A479C" w:rsidRDefault="00140862" w:rsidP="00B92AB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A479C">
              <w:rPr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F143A9" w:rsidRDefault="00F143A9" w:rsidP="00140862">
      <w:pPr>
        <w:suppressAutoHyphens/>
        <w:ind w:firstLine="567"/>
        <w:jc w:val="both"/>
        <w:rPr>
          <w:sz w:val="28"/>
          <w:szCs w:val="28"/>
        </w:rPr>
      </w:pPr>
    </w:p>
    <w:p w:rsidR="0014086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>1</w:t>
      </w:r>
      <w:r w:rsidRPr="00786632">
        <w:rPr>
          <w:rFonts w:eastAsia="SimSun"/>
          <w:color w:val="000000"/>
          <w:sz w:val="28"/>
          <w:szCs w:val="28"/>
          <w:lang w:eastAsia="ar-SA"/>
        </w:rPr>
        <w:t>.4. Пункт 3.</w:t>
      </w:r>
      <w:r>
        <w:rPr>
          <w:rFonts w:eastAsia="SimSun"/>
          <w:color w:val="000000"/>
          <w:sz w:val="28"/>
          <w:szCs w:val="28"/>
          <w:lang w:eastAsia="ar-SA"/>
        </w:rPr>
        <w:t>2.</w:t>
      </w:r>
      <w:r w:rsidRPr="00786632">
        <w:rPr>
          <w:rFonts w:eastAsia="SimSun"/>
          <w:color w:val="000000"/>
          <w:sz w:val="28"/>
          <w:szCs w:val="28"/>
          <w:lang w:eastAsia="ar-SA"/>
        </w:rPr>
        <w:t xml:space="preserve"> Решения изложить в следующей редакции: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>
        <w:rPr>
          <w:rFonts w:eastAsia="SimSun"/>
          <w:color w:val="000000"/>
          <w:sz w:val="28"/>
          <w:szCs w:val="28"/>
          <w:lang w:eastAsia="ar-SA"/>
        </w:rPr>
        <w:t>«</w:t>
      </w:r>
      <w:r w:rsidRPr="00786632">
        <w:rPr>
          <w:rFonts w:eastAsia="SimSun"/>
          <w:color w:val="000000"/>
          <w:sz w:val="28"/>
          <w:szCs w:val="28"/>
          <w:lang w:eastAsia="ar-SA"/>
        </w:rPr>
        <w:t>3.2. Освободить от уплаты налога помимо льготных категорий налогоплательщиков, установленных статьей 407 Налогового кодекса Российской Федерации, следующие категории налогоплательщиков: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786632">
        <w:rPr>
          <w:rFonts w:eastAsia="SimSun"/>
          <w:color w:val="000000"/>
          <w:sz w:val="28"/>
          <w:szCs w:val="28"/>
          <w:lang w:eastAsia="ar-SA"/>
        </w:rPr>
        <w:t>1) Малообеспеченные многодетные семьи, за исключением детей, находящихся на полном государственном обеспечении;</w:t>
      </w:r>
    </w:p>
    <w:p w:rsidR="00140862" w:rsidRPr="00786632" w:rsidRDefault="00140862" w:rsidP="00140862">
      <w:pPr>
        <w:suppressAutoHyphens/>
        <w:ind w:firstLine="567"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786632">
        <w:rPr>
          <w:rFonts w:eastAsia="SimSun"/>
          <w:color w:val="000000"/>
          <w:sz w:val="28"/>
          <w:szCs w:val="28"/>
          <w:lang w:eastAsia="ar-SA"/>
        </w:rPr>
        <w:t>2) Опекуны (попечители) пенсионного возраста над несовершеннолетними детьми, опекуны над совершеннолетними гражданами, признанными судом недееспособными, а также каждый из этих опекаемых в случае долевой собственности.</w:t>
      </w:r>
      <w:r>
        <w:rPr>
          <w:rFonts w:eastAsia="SimSun"/>
          <w:color w:val="000000"/>
          <w:sz w:val="28"/>
          <w:szCs w:val="28"/>
          <w:lang w:eastAsia="ar-SA"/>
        </w:rPr>
        <w:t>»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2. Настоящее решение подлежит официальному опубликованию.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 xml:space="preserve">3. </w:t>
      </w:r>
      <w:r w:rsidRPr="003A479C">
        <w:rPr>
          <w:rFonts w:eastAsia="SimSun"/>
          <w:color w:val="000000"/>
          <w:sz w:val="28"/>
          <w:szCs w:val="28"/>
          <w:lang w:eastAsia="ar-SA"/>
        </w:rPr>
        <w:t>Копию настоящего решения</w:t>
      </w:r>
      <w:r w:rsidRPr="003A479C">
        <w:rPr>
          <w:rFonts w:eastAsia="SimSu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eastAsia="SimSun"/>
          <w:sz w:val="28"/>
          <w:szCs w:val="28"/>
          <w:lang w:eastAsia="ar-SA"/>
        </w:rPr>
        <w:t>13</w:t>
      </w:r>
      <w:r w:rsidRPr="003A479C">
        <w:rPr>
          <w:rFonts w:eastAsia="SimSu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4. Опубликовать настоящее решение в</w:t>
      </w:r>
      <w:r>
        <w:rPr>
          <w:rFonts w:eastAsia="SimSun"/>
          <w:sz w:val="28"/>
          <w:szCs w:val="28"/>
          <w:lang w:eastAsia="ar-SA"/>
        </w:rPr>
        <w:t xml:space="preserve"> информационном бюллетене «</w:t>
      </w:r>
      <w:r w:rsidRPr="00776AD5">
        <w:rPr>
          <w:rFonts w:eastAsia="SimSun"/>
          <w:sz w:val="28"/>
          <w:szCs w:val="28"/>
          <w:lang w:eastAsia="ar-SA"/>
        </w:rPr>
        <w:t>«Вестник Новок</w:t>
      </w:r>
      <w:r>
        <w:rPr>
          <w:rFonts w:eastAsia="SimSun"/>
          <w:sz w:val="28"/>
          <w:szCs w:val="28"/>
          <w:lang w:eastAsia="ar-SA"/>
        </w:rPr>
        <w:t>убанского городского поселения»</w:t>
      </w:r>
      <w:r w:rsidRPr="003A479C">
        <w:rPr>
          <w:rFonts w:eastAsia="SimSun"/>
          <w:sz w:val="28"/>
          <w:szCs w:val="28"/>
          <w:lang w:eastAsia="ar-SA"/>
        </w:rPr>
        <w:t xml:space="preserve"> и размест</w:t>
      </w:r>
      <w:r>
        <w:rPr>
          <w:rFonts w:eastAsia="SimSun"/>
          <w:sz w:val="28"/>
          <w:szCs w:val="28"/>
          <w:lang w:eastAsia="ar-SA"/>
        </w:rPr>
        <w:t xml:space="preserve">ить на официальном сайте администрации Новокубанского городского </w:t>
      </w:r>
      <w:r w:rsidRPr="003A479C">
        <w:rPr>
          <w:rFonts w:eastAsia="SimSun"/>
          <w:sz w:val="28"/>
          <w:szCs w:val="28"/>
          <w:lang w:eastAsia="ar-SA"/>
        </w:rPr>
        <w:t xml:space="preserve">поселения </w:t>
      </w:r>
      <w:r>
        <w:rPr>
          <w:rFonts w:eastAsia="SimSun"/>
          <w:sz w:val="28"/>
          <w:szCs w:val="28"/>
          <w:lang w:eastAsia="ar-SA"/>
        </w:rPr>
        <w:t>Новокубанского</w:t>
      </w:r>
      <w:r w:rsidRPr="003A479C">
        <w:rPr>
          <w:rFonts w:eastAsia="SimSun"/>
          <w:sz w:val="28"/>
          <w:szCs w:val="28"/>
          <w:lang w:eastAsia="ar-SA"/>
        </w:rPr>
        <w:t xml:space="preserve"> района в информационно-телекоммуникационной сети «Интернет».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5</w:t>
      </w:r>
      <w:r>
        <w:rPr>
          <w:rFonts w:eastAsia="SimSun"/>
          <w:sz w:val="28"/>
          <w:szCs w:val="28"/>
          <w:lang w:eastAsia="ar-SA"/>
        </w:rPr>
        <w:t xml:space="preserve">. </w:t>
      </w:r>
      <w:r w:rsidRPr="00EC6923">
        <w:rPr>
          <w:rFonts w:eastAsia="SimSun"/>
          <w:sz w:val="28"/>
          <w:szCs w:val="28"/>
          <w:lang w:eastAsia="ar-SA"/>
        </w:rPr>
        <w:t>Контроль за выполнением настоящего решения возложить на комитет Совета Новокубанского городского поселения Новокубанского района  по финансам, бюджету, налогам и контролю (Штурман).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3A479C">
        <w:rPr>
          <w:rFonts w:eastAsia="SimSun"/>
          <w:sz w:val="28"/>
          <w:szCs w:val="28"/>
          <w:lang w:eastAsia="ar-SA"/>
        </w:rPr>
        <w:t>6. Подпункт 1.1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 по 31 декабря 2017 года.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7</w:t>
      </w:r>
      <w:r w:rsidRPr="003A479C">
        <w:rPr>
          <w:rFonts w:eastAsia="SimSun"/>
          <w:sz w:val="28"/>
          <w:szCs w:val="28"/>
          <w:lang w:eastAsia="ar-SA"/>
        </w:rPr>
        <w:t>. Подпункт 1.2 пункта 1 настоящего решения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2018 года по 31 декабря 2018 года.</w:t>
      </w:r>
    </w:p>
    <w:p w:rsidR="00140862" w:rsidRPr="003A479C" w:rsidRDefault="00140862" w:rsidP="00140862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8</w:t>
      </w:r>
      <w:r w:rsidRPr="003A479C">
        <w:rPr>
          <w:rFonts w:eastAsia="SimSun"/>
          <w:sz w:val="28"/>
          <w:szCs w:val="28"/>
          <w:lang w:eastAsia="ar-SA"/>
        </w:rPr>
        <w:t>. Подпункт 1.3</w:t>
      </w:r>
      <w:r>
        <w:rPr>
          <w:rFonts w:eastAsia="SimSun"/>
          <w:sz w:val="28"/>
          <w:szCs w:val="28"/>
          <w:lang w:eastAsia="ar-SA"/>
        </w:rPr>
        <w:t>, 1.4</w:t>
      </w:r>
      <w:r w:rsidRPr="003A479C">
        <w:rPr>
          <w:rFonts w:eastAsia="SimSun"/>
          <w:sz w:val="28"/>
          <w:szCs w:val="28"/>
          <w:lang w:eastAsia="ar-SA"/>
        </w:rPr>
        <w:t xml:space="preserve"> пункта 1 настоящего решения вступает в силу с 1 января 2019 года, но не ранее чем по истечении одного месяца со дня его официального опубликования.</w:t>
      </w:r>
    </w:p>
    <w:p w:rsidR="00F7288D" w:rsidRDefault="00F7288D" w:rsidP="00F7288D">
      <w:pPr>
        <w:tabs>
          <w:tab w:val="left" w:pos="7811"/>
        </w:tabs>
        <w:spacing w:line="232" w:lineRule="auto"/>
        <w:jc w:val="both"/>
        <w:rPr>
          <w:sz w:val="28"/>
          <w:szCs w:val="28"/>
        </w:rPr>
      </w:pPr>
    </w:p>
    <w:p w:rsidR="00F7288D" w:rsidRPr="0057382E" w:rsidRDefault="00F7288D" w:rsidP="00F7288D">
      <w:pPr>
        <w:tabs>
          <w:tab w:val="left" w:pos="7811"/>
        </w:tabs>
        <w:spacing w:line="232" w:lineRule="auto"/>
        <w:jc w:val="both"/>
        <w:rPr>
          <w:sz w:val="28"/>
          <w:szCs w:val="28"/>
        </w:rPr>
      </w:pPr>
    </w:p>
    <w:tbl>
      <w:tblPr>
        <w:tblW w:w="102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5"/>
        <w:gridCol w:w="725"/>
        <w:gridCol w:w="275"/>
        <w:gridCol w:w="275"/>
        <w:gridCol w:w="275"/>
        <w:gridCol w:w="275"/>
        <w:gridCol w:w="275"/>
        <w:gridCol w:w="275"/>
        <w:gridCol w:w="275"/>
        <w:gridCol w:w="314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194"/>
        <w:gridCol w:w="82"/>
        <w:gridCol w:w="338"/>
      </w:tblGrid>
      <w:tr w:rsidR="00F7288D" w:rsidRPr="0057382E" w:rsidTr="00140862">
        <w:trPr>
          <w:gridAfter w:val="2"/>
          <w:wAfter w:w="420" w:type="dxa"/>
        </w:trPr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Глава</w:t>
            </w:r>
          </w:p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Председатель Совета</w:t>
            </w:r>
          </w:p>
          <w:p w:rsidR="00F7288D" w:rsidRPr="004C21B4" w:rsidRDefault="00F7288D" w:rsidP="00140862">
            <w:pPr>
              <w:ind w:right="-108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Новокубанского городского</w:t>
            </w:r>
          </w:p>
        </w:tc>
      </w:tr>
      <w:tr w:rsidR="00F7288D" w:rsidRPr="0057382E" w:rsidTr="00140862">
        <w:trPr>
          <w:gridAfter w:val="2"/>
          <w:wAfter w:w="420" w:type="dxa"/>
          <w:trHeight w:val="658"/>
        </w:trPr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F7288D" w:rsidRPr="00843AB1" w:rsidRDefault="00F7288D" w:rsidP="0078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 Р.Р. Кадыров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3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 w:rsidRPr="004C21B4">
              <w:rPr>
                <w:sz w:val="28"/>
                <w:szCs w:val="28"/>
              </w:rPr>
              <w:t>поселения Новокубанского района</w:t>
            </w:r>
          </w:p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________________Е.В. Головченко</w:t>
            </w:r>
          </w:p>
          <w:p w:rsidR="00F7288D" w:rsidRPr="004C21B4" w:rsidRDefault="00F7288D" w:rsidP="00140862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517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</w:tr>
      <w:tr w:rsidR="00F7288D" w:rsidRPr="0057382E" w:rsidTr="00782B27"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288D" w:rsidRPr="004C21B4" w:rsidRDefault="00F7288D" w:rsidP="00782B27">
            <w:pPr>
              <w:tabs>
                <w:tab w:val="left" w:pos="7811"/>
              </w:tabs>
              <w:spacing w:line="232" w:lineRule="auto"/>
              <w:ind w:left="-91" w:right="-66"/>
              <w:jc w:val="both"/>
              <w:rPr>
                <w:sz w:val="28"/>
                <w:szCs w:val="28"/>
              </w:rPr>
            </w:pPr>
          </w:p>
        </w:tc>
      </w:tr>
    </w:tbl>
    <w:p w:rsidR="00140862" w:rsidRDefault="00140862" w:rsidP="004841AE">
      <w:pPr>
        <w:tabs>
          <w:tab w:val="left" w:pos="7811"/>
        </w:tabs>
        <w:spacing w:line="228" w:lineRule="auto"/>
        <w:rPr>
          <w:sz w:val="28"/>
          <w:szCs w:val="28"/>
        </w:rPr>
      </w:pPr>
    </w:p>
    <w:p w:rsidR="00D74CC1" w:rsidRDefault="00D74CC1" w:rsidP="00CB7E87">
      <w:pPr>
        <w:jc w:val="center"/>
      </w:pPr>
    </w:p>
    <w:sectPr w:rsidR="00D74CC1" w:rsidSect="00DC2354">
      <w:headerReference w:type="even" r:id="rId8"/>
      <w:headerReference w:type="default" r:id="rId9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C78" w:rsidRDefault="00601C78">
      <w:r>
        <w:separator/>
      </w:r>
    </w:p>
  </w:endnote>
  <w:endnote w:type="continuationSeparator" w:id="1">
    <w:p w:rsidR="00601C78" w:rsidRDefault="0060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C78" w:rsidRDefault="00601C78">
      <w:r>
        <w:separator/>
      </w:r>
    </w:p>
  </w:footnote>
  <w:footnote w:type="continuationSeparator" w:id="1">
    <w:p w:rsidR="00601C78" w:rsidRDefault="00601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D9059A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753C5B">
    <w:pPr>
      <w:pStyle w:val="a5"/>
      <w:framePr w:wrap="around" w:vAnchor="text" w:hAnchor="margin" w:xAlign="center" w:y="1"/>
      <w:jc w:val="center"/>
      <w:rPr>
        <w:rStyle w:val="a6"/>
      </w:rPr>
    </w:pPr>
  </w:p>
  <w:p w:rsidR="005E6711" w:rsidRDefault="005E6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7DB4"/>
    <w:rsid w:val="00020892"/>
    <w:rsid w:val="000238B3"/>
    <w:rsid w:val="000248D9"/>
    <w:rsid w:val="00027F03"/>
    <w:rsid w:val="000378C0"/>
    <w:rsid w:val="00050598"/>
    <w:rsid w:val="0006112D"/>
    <w:rsid w:val="000635A0"/>
    <w:rsid w:val="00064C9A"/>
    <w:rsid w:val="000657E2"/>
    <w:rsid w:val="00071CE1"/>
    <w:rsid w:val="00086BAB"/>
    <w:rsid w:val="00091574"/>
    <w:rsid w:val="00091633"/>
    <w:rsid w:val="000A59B3"/>
    <w:rsid w:val="000B22EB"/>
    <w:rsid w:val="000C6B1D"/>
    <w:rsid w:val="000D18B3"/>
    <w:rsid w:val="000D404F"/>
    <w:rsid w:val="001177ED"/>
    <w:rsid w:val="00125804"/>
    <w:rsid w:val="0012599F"/>
    <w:rsid w:val="00126923"/>
    <w:rsid w:val="00134CEB"/>
    <w:rsid w:val="001379C0"/>
    <w:rsid w:val="00140862"/>
    <w:rsid w:val="00147415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D0382"/>
    <w:rsid w:val="001E1150"/>
    <w:rsid w:val="001E4A48"/>
    <w:rsid w:val="00216654"/>
    <w:rsid w:val="00217BC8"/>
    <w:rsid w:val="00245899"/>
    <w:rsid w:val="002564CC"/>
    <w:rsid w:val="00256ACE"/>
    <w:rsid w:val="0026748A"/>
    <w:rsid w:val="002772E9"/>
    <w:rsid w:val="0028577D"/>
    <w:rsid w:val="00293687"/>
    <w:rsid w:val="00295604"/>
    <w:rsid w:val="00296DA0"/>
    <w:rsid w:val="002A039A"/>
    <w:rsid w:val="002B0D7F"/>
    <w:rsid w:val="002B5820"/>
    <w:rsid w:val="002C014C"/>
    <w:rsid w:val="002C4CE9"/>
    <w:rsid w:val="002D7C71"/>
    <w:rsid w:val="002F2315"/>
    <w:rsid w:val="002F35C8"/>
    <w:rsid w:val="00304935"/>
    <w:rsid w:val="00315FF9"/>
    <w:rsid w:val="00316792"/>
    <w:rsid w:val="003279BA"/>
    <w:rsid w:val="00332E55"/>
    <w:rsid w:val="00346B63"/>
    <w:rsid w:val="00346C9B"/>
    <w:rsid w:val="00370813"/>
    <w:rsid w:val="003742FB"/>
    <w:rsid w:val="00377D9D"/>
    <w:rsid w:val="00381A6B"/>
    <w:rsid w:val="00390118"/>
    <w:rsid w:val="00392B53"/>
    <w:rsid w:val="0039789E"/>
    <w:rsid w:val="003A2CEF"/>
    <w:rsid w:val="003A5342"/>
    <w:rsid w:val="003A690A"/>
    <w:rsid w:val="003B309F"/>
    <w:rsid w:val="003B5801"/>
    <w:rsid w:val="003F6B4C"/>
    <w:rsid w:val="003F6B5B"/>
    <w:rsid w:val="00403A87"/>
    <w:rsid w:val="004163F5"/>
    <w:rsid w:val="00427FAF"/>
    <w:rsid w:val="00441C4B"/>
    <w:rsid w:val="00444CB0"/>
    <w:rsid w:val="00452A36"/>
    <w:rsid w:val="00463A13"/>
    <w:rsid w:val="0047259D"/>
    <w:rsid w:val="00476D8E"/>
    <w:rsid w:val="00481175"/>
    <w:rsid w:val="004841AE"/>
    <w:rsid w:val="0048520B"/>
    <w:rsid w:val="00485800"/>
    <w:rsid w:val="00490CC3"/>
    <w:rsid w:val="00492DE2"/>
    <w:rsid w:val="0049773E"/>
    <w:rsid w:val="004A49CE"/>
    <w:rsid w:val="004B668E"/>
    <w:rsid w:val="004B7B1D"/>
    <w:rsid w:val="004C4782"/>
    <w:rsid w:val="004C48FF"/>
    <w:rsid w:val="004D35B6"/>
    <w:rsid w:val="004D6313"/>
    <w:rsid w:val="004E05CB"/>
    <w:rsid w:val="004E128D"/>
    <w:rsid w:val="004E4DB3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3608"/>
    <w:rsid w:val="005570F5"/>
    <w:rsid w:val="00560107"/>
    <w:rsid w:val="00572558"/>
    <w:rsid w:val="00587A1A"/>
    <w:rsid w:val="00591D07"/>
    <w:rsid w:val="005A16B6"/>
    <w:rsid w:val="005A6099"/>
    <w:rsid w:val="005C742C"/>
    <w:rsid w:val="005E2A14"/>
    <w:rsid w:val="005E6711"/>
    <w:rsid w:val="005F15D6"/>
    <w:rsid w:val="005F377D"/>
    <w:rsid w:val="006014B3"/>
    <w:rsid w:val="00601C78"/>
    <w:rsid w:val="00604936"/>
    <w:rsid w:val="006103EF"/>
    <w:rsid w:val="00622A6C"/>
    <w:rsid w:val="00643F83"/>
    <w:rsid w:val="00651511"/>
    <w:rsid w:val="00654B4F"/>
    <w:rsid w:val="00655656"/>
    <w:rsid w:val="00673B27"/>
    <w:rsid w:val="00677547"/>
    <w:rsid w:val="0068022E"/>
    <w:rsid w:val="006B6559"/>
    <w:rsid w:val="006C00B6"/>
    <w:rsid w:val="006C0445"/>
    <w:rsid w:val="006C2657"/>
    <w:rsid w:val="006C2C40"/>
    <w:rsid w:val="006F00E9"/>
    <w:rsid w:val="006F051A"/>
    <w:rsid w:val="006F5597"/>
    <w:rsid w:val="00703B43"/>
    <w:rsid w:val="00714D5C"/>
    <w:rsid w:val="0071526B"/>
    <w:rsid w:val="00730967"/>
    <w:rsid w:val="00740049"/>
    <w:rsid w:val="0074790B"/>
    <w:rsid w:val="0075103C"/>
    <w:rsid w:val="00752127"/>
    <w:rsid w:val="00753C5B"/>
    <w:rsid w:val="007610D8"/>
    <w:rsid w:val="00765B2D"/>
    <w:rsid w:val="00780B96"/>
    <w:rsid w:val="00781BA0"/>
    <w:rsid w:val="007860CF"/>
    <w:rsid w:val="007958FD"/>
    <w:rsid w:val="007B0B45"/>
    <w:rsid w:val="007B31B9"/>
    <w:rsid w:val="007C15F0"/>
    <w:rsid w:val="007C7D94"/>
    <w:rsid w:val="007D1A06"/>
    <w:rsid w:val="007D25B8"/>
    <w:rsid w:val="007E0431"/>
    <w:rsid w:val="007E5919"/>
    <w:rsid w:val="007E64CE"/>
    <w:rsid w:val="007F0EF3"/>
    <w:rsid w:val="00800513"/>
    <w:rsid w:val="008024E7"/>
    <w:rsid w:val="008033DD"/>
    <w:rsid w:val="00805414"/>
    <w:rsid w:val="008146AA"/>
    <w:rsid w:val="00831DAF"/>
    <w:rsid w:val="00842204"/>
    <w:rsid w:val="00854C80"/>
    <w:rsid w:val="00861037"/>
    <w:rsid w:val="00864FC4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F7EC2"/>
    <w:rsid w:val="00901D35"/>
    <w:rsid w:val="00905C16"/>
    <w:rsid w:val="00910C77"/>
    <w:rsid w:val="00916B91"/>
    <w:rsid w:val="00923A5F"/>
    <w:rsid w:val="009528E0"/>
    <w:rsid w:val="0096380A"/>
    <w:rsid w:val="00970A5A"/>
    <w:rsid w:val="0097640E"/>
    <w:rsid w:val="00981FD5"/>
    <w:rsid w:val="00985EDC"/>
    <w:rsid w:val="00993928"/>
    <w:rsid w:val="009A043E"/>
    <w:rsid w:val="009B184F"/>
    <w:rsid w:val="009D6469"/>
    <w:rsid w:val="009D762F"/>
    <w:rsid w:val="009E6EDB"/>
    <w:rsid w:val="009F39A2"/>
    <w:rsid w:val="00A215E3"/>
    <w:rsid w:val="00A23B8F"/>
    <w:rsid w:val="00A52A41"/>
    <w:rsid w:val="00A5498B"/>
    <w:rsid w:val="00A5586D"/>
    <w:rsid w:val="00A57C94"/>
    <w:rsid w:val="00A70705"/>
    <w:rsid w:val="00A76B0E"/>
    <w:rsid w:val="00A830C6"/>
    <w:rsid w:val="00A86A3C"/>
    <w:rsid w:val="00A90542"/>
    <w:rsid w:val="00AA1BD3"/>
    <w:rsid w:val="00AA4C75"/>
    <w:rsid w:val="00AC40B6"/>
    <w:rsid w:val="00AD3E12"/>
    <w:rsid w:val="00AD49D5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7CD1"/>
    <w:rsid w:val="00B759BD"/>
    <w:rsid w:val="00B80FAF"/>
    <w:rsid w:val="00B94268"/>
    <w:rsid w:val="00B954DF"/>
    <w:rsid w:val="00BA4C96"/>
    <w:rsid w:val="00BB1238"/>
    <w:rsid w:val="00BD0D0B"/>
    <w:rsid w:val="00BE32BA"/>
    <w:rsid w:val="00BE4545"/>
    <w:rsid w:val="00BF0FD0"/>
    <w:rsid w:val="00BF36E2"/>
    <w:rsid w:val="00BF6F6C"/>
    <w:rsid w:val="00C01976"/>
    <w:rsid w:val="00C35768"/>
    <w:rsid w:val="00C423C6"/>
    <w:rsid w:val="00C43BE2"/>
    <w:rsid w:val="00C47D4A"/>
    <w:rsid w:val="00C60669"/>
    <w:rsid w:val="00C615E0"/>
    <w:rsid w:val="00C65D2C"/>
    <w:rsid w:val="00C8697A"/>
    <w:rsid w:val="00C907DE"/>
    <w:rsid w:val="00C97A06"/>
    <w:rsid w:val="00CA0421"/>
    <w:rsid w:val="00CA7E14"/>
    <w:rsid w:val="00CB34AD"/>
    <w:rsid w:val="00CB7E87"/>
    <w:rsid w:val="00CC2AE6"/>
    <w:rsid w:val="00CC2BC6"/>
    <w:rsid w:val="00CC6E8C"/>
    <w:rsid w:val="00CD62EC"/>
    <w:rsid w:val="00CE0307"/>
    <w:rsid w:val="00CE2BAB"/>
    <w:rsid w:val="00CE39C8"/>
    <w:rsid w:val="00CF3C41"/>
    <w:rsid w:val="00D07FC8"/>
    <w:rsid w:val="00D14469"/>
    <w:rsid w:val="00D17429"/>
    <w:rsid w:val="00D25C95"/>
    <w:rsid w:val="00D51BCE"/>
    <w:rsid w:val="00D64BE0"/>
    <w:rsid w:val="00D668CE"/>
    <w:rsid w:val="00D67B68"/>
    <w:rsid w:val="00D74CC1"/>
    <w:rsid w:val="00D77BD4"/>
    <w:rsid w:val="00D853F3"/>
    <w:rsid w:val="00D8594D"/>
    <w:rsid w:val="00D87180"/>
    <w:rsid w:val="00D9059A"/>
    <w:rsid w:val="00D9095C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41B0"/>
    <w:rsid w:val="00E7512F"/>
    <w:rsid w:val="00EA039C"/>
    <w:rsid w:val="00EA240F"/>
    <w:rsid w:val="00EA4651"/>
    <w:rsid w:val="00EB5D2A"/>
    <w:rsid w:val="00ED40AC"/>
    <w:rsid w:val="00ED4BC5"/>
    <w:rsid w:val="00EE1B1A"/>
    <w:rsid w:val="00F143A9"/>
    <w:rsid w:val="00F150A7"/>
    <w:rsid w:val="00F2612A"/>
    <w:rsid w:val="00F337E0"/>
    <w:rsid w:val="00F40A4E"/>
    <w:rsid w:val="00F436CA"/>
    <w:rsid w:val="00F445DB"/>
    <w:rsid w:val="00F66F51"/>
    <w:rsid w:val="00F7288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8E"/>
  </w:style>
  <w:style w:type="paragraph" w:styleId="1">
    <w:name w:val="heading 1"/>
    <w:basedOn w:val="a"/>
    <w:next w:val="a"/>
    <w:link w:val="10"/>
    <w:qFormat/>
    <w:rsid w:val="00476D8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76D8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6D8E"/>
    <w:pPr>
      <w:jc w:val="both"/>
    </w:pPr>
    <w:rPr>
      <w:b/>
      <w:sz w:val="28"/>
    </w:rPr>
  </w:style>
  <w:style w:type="paragraph" w:styleId="20">
    <w:name w:val="Body Text 2"/>
    <w:basedOn w:val="a"/>
    <w:rsid w:val="00476D8E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link w:val="31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AD49D5"/>
    <w:rPr>
      <w:sz w:val="28"/>
    </w:rPr>
  </w:style>
  <w:style w:type="character" w:customStyle="1" w:styleId="31">
    <w:name w:val="Основной текст с отступом 3 Знак"/>
    <w:basedOn w:val="a0"/>
    <w:link w:val="30"/>
    <w:rsid w:val="00AD49D5"/>
    <w:rPr>
      <w:sz w:val="16"/>
      <w:szCs w:val="16"/>
    </w:rPr>
  </w:style>
  <w:style w:type="paragraph" w:customStyle="1" w:styleId="s1">
    <w:name w:val="s_1"/>
    <w:basedOn w:val="a"/>
    <w:rsid w:val="00AD49D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4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14</cp:revision>
  <cp:lastPrinted>2018-10-23T05:18:00Z</cp:lastPrinted>
  <dcterms:created xsi:type="dcterms:W3CDTF">2018-10-18T11:15:00Z</dcterms:created>
  <dcterms:modified xsi:type="dcterms:W3CDTF">2018-10-23T07:39:00Z</dcterms:modified>
</cp:coreProperties>
</file>